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4D82C" w14:textId="77777777" w:rsidR="00392DB9" w:rsidRPr="006C4373" w:rsidRDefault="006C4373" w:rsidP="00392DB9">
      <w:pPr>
        <w:pStyle w:val="Heading1"/>
        <w:spacing w:before="0"/>
        <w:rPr>
          <w:rFonts w:ascii="Arial" w:hAnsi="Arial"/>
          <w:szCs w:val="28"/>
        </w:rPr>
      </w:pPr>
      <w:sdt>
        <w:sdtPr>
          <w:rPr>
            <w:rFonts w:ascii="Arial" w:hAnsi="Arial"/>
            <w:szCs w:val="28"/>
          </w:rPr>
          <w:id w:val="44968575"/>
          <w:placeholder>
            <w:docPart w:val="DD14CAFB7420BB4B8C29FA0D21A31261"/>
          </w:placeholder>
        </w:sdtPr>
        <w:sdtEndPr/>
        <w:sdtContent>
          <w:r w:rsidR="00392DB9" w:rsidRPr="006C4373">
            <w:rPr>
              <w:rFonts w:ascii="Arial" w:hAnsi="Arial"/>
              <w:szCs w:val="28"/>
            </w:rPr>
            <w:t>Cooper Jones Bicyclist Safety Advisory Council</w:t>
          </w:r>
        </w:sdtContent>
      </w:sdt>
    </w:p>
    <w:sdt>
      <w:sdtPr>
        <w:rPr>
          <w:rFonts w:ascii="Arial" w:hAnsi="Arial" w:cs="Arial"/>
          <w:sz w:val="24"/>
        </w:rPr>
        <w:alias w:val="Date"/>
        <w:tag w:val="Date"/>
        <w:id w:val="44967977"/>
        <w:placeholder>
          <w:docPart w:val="B0EA183FFE25FB4EACECB1577C16A084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14:paraId="3355D9B7" w14:textId="25D7B93C" w:rsidR="00392DB9" w:rsidRPr="006C4373" w:rsidRDefault="004379D9" w:rsidP="00392DB9">
          <w:pPr>
            <w:pStyle w:val="Heading2"/>
            <w:rPr>
              <w:rFonts w:ascii="Arial" w:hAnsi="Arial" w:cs="Arial"/>
              <w:sz w:val="24"/>
            </w:rPr>
          </w:pPr>
          <w:r w:rsidRPr="006C4373">
            <w:rPr>
              <w:rFonts w:ascii="Arial" w:hAnsi="Arial" w:cs="Arial"/>
              <w:sz w:val="24"/>
            </w:rPr>
            <w:t>Meeting #4</w:t>
          </w:r>
          <w:r w:rsidR="00392DB9" w:rsidRPr="006C4373">
            <w:rPr>
              <w:rFonts w:ascii="Arial" w:hAnsi="Arial" w:cs="Arial"/>
              <w:sz w:val="24"/>
            </w:rPr>
            <w:t xml:space="preserve"> – Summary Meeting Report</w:t>
          </w:r>
        </w:p>
      </w:sdtContent>
    </w:sdt>
    <w:p w14:paraId="7F8E1120" w14:textId="0F48D8D4" w:rsidR="00392DB9" w:rsidRPr="006C4373" w:rsidRDefault="004379D9" w:rsidP="00C21D3E">
      <w:pPr>
        <w:pStyle w:val="Heading2"/>
        <w:spacing w:after="24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February 12</w:t>
      </w:r>
      <w:r w:rsidR="00392DB9" w:rsidRPr="006C4373">
        <w:rPr>
          <w:rFonts w:ascii="Arial" w:hAnsi="Arial" w:cs="Arial"/>
          <w:sz w:val="24"/>
        </w:rPr>
        <w:t xml:space="preserve">, 2018, 11:00 am – 3:00 pm, </w:t>
      </w:r>
      <w:r w:rsidRPr="006C4373">
        <w:rPr>
          <w:rFonts w:ascii="Arial" w:hAnsi="Arial" w:cs="Arial"/>
          <w:sz w:val="24"/>
        </w:rPr>
        <w:t>Tukwila Community Center, 12424 42nd Ave South, Tukwila WA</w:t>
      </w: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8550"/>
      </w:tblGrid>
      <w:tr w:rsidR="00392DB9" w14:paraId="755CF85D" w14:textId="77777777" w:rsidTr="000367FD">
        <w:trPr>
          <w:cantSplit/>
          <w:trHeight w:val="360"/>
        </w:trPr>
        <w:tc>
          <w:tcPr>
            <w:tcW w:w="1800" w:type="dxa"/>
          </w:tcPr>
          <w:p w14:paraId="41DE8D39" w14:textId="77777777" w:rsidR="00392DB9" w:rsidRDefault="00392DB9" w:rsidP="00C21D3E">
            <w:pPr>
              <w:pStyle w:val="Heading3"/>
              <w:outlineLvl w:val="2"/>
              <w:rPr>
                <w:rFonts w:ascii="Arial" w:hAnsi="Arial" w:cs="Arial"/>
              </w:rPr>
            </w:pPr>
            <w:r w:rsidRPr="00032963">
              <w:rPr>
                <w:rFonts w:ascii="Arial" w:eastAsia="Calibri" w:hAnsi="Arial" w:cs="Arial"/>
              </w:rPr>
              <w:t>In</w:t>
            </w:r>
            <w:r w:rsidRPr="00032963">
              <w:rPr>
                <w:rFonts w:ascii="Arial" w:hAnsi="Arial" w:cs="Arial"/>
              </w:rPr>
              <w:t xml:space="preserve"> </w:t>
            </w:r>
            <w:r w:rsidRPr="00032963">
              <w:rPr>
                <w:rFonts w:ascii="Arial" w:eastAsia="Calibri" w:hAnsi="Arial" w:cs="Arial"/>
              </w:rPr>
              <w:t>Attendance</w:t>
            </w:r>
            <w:r w:rsidRPr="00032963">
              <w:rPr>
                <w:rFonts w:ascii="Arial" w:hAnsi="Arial" w:cs="Arial"/>
              </w:rPr>
              <w:t xml:space="preserve">: </w:t>
            </w:r>
          </w:p>
          <w:p w14:paraId="0833FC0E" w14:textId="04565CB9" w:rsidR="00C21D3E" w:rsidRPr="00C21D3E" w:rsidRDefault="00C21D3E" w:rsidP="00C21D3E">
            <w:pPr>
              <w:rPr>
                <w:rFonts w:ascii="Arial" w:hAnsi="Arial" w:cs="Arial"/>
                <w:b/>
              </w:rPr>
            </w:pPr>
          </w:p>
        </w:tc>
        <w:tc>
          <w:tcPr>
            <w:tcW w:w="8550" w:type="dxa"/>
            <w:vAlign w:val="bottom"/>
          </w:tcPr>
          <w:p w14:paraId="41C9827D" w14:textId="77777777" w:rsidR="00C21D3E" w:rsidRDefault="004379D9" w:rsidP="004379D9">
            <w:pPr>
              <w:tabs>
                <w:tab w:val="left" w:pos="3650"/>
              </w:tabs>
              <w:spacing w:after="0" w:line="240" w:lineRule="auto"/>
              <w:ind w:left="53"/>
              <w:rPr>
                <w:rFonts w:ascii="Arial" w:hAnsi="Arial" w:cs="Arial"/>
                <w:color w:val="000000" w:themeColor="text1"/>
              </w:rPr>
            </w:pPr>
            <w:r w:rsidRPr="00D11E6E">
              <w:rPr>
                <w:rFonts w:ascii="Arial" w:hAnsi="Arial" w:cs="Arial"/>
                <w:color w:val="000000" w:themeColor="text1"/>
              </w:rPr>
              <w:t xml:space="preserve">Barb Chamberlain, Charlotte Claybrooke, Steve Durrant, Amy Shumann, Dongho Chang, Liz McNett-Crowl, Chris Comeau, David Jones, Dr. Amy Person, Liz Kaster, Aimee D’Avignon, Nancy Lillquist, </w:t>
            </w:r>
            <w:r>
              <w:rPr>
                <w:rFonts w:ascii="Arial" w:hAnsi="Arial" w:cs="Arial"/>
                <w:color w:val="000000" w:themeColor="text1"/>
              </w:rPr>
              <w:t>Katherine M</w:t>
            </w:r>
            <w:r w:rsidRPr="00D11E6E">
              <w:rPr>
                <w:rFonts w:ascii="Arial" w:hAnsi="Arial" w:cs="Arial"/>
                <w:color w:val="000000" w:themeColor="text1"/>
              </w:rPr>
              <w:t xml:space="preserve">iller, Annie Szotkowski, Josh Diekmann, Matthew Rolloson, </w:t>
            </w:r>
            <w:r>
              <w:rPr>
                <w:rFonts w:ascii="Arial" w:hAnsi="Arial" w:cs="Arial"/>
                <w:color w:val="000000" w:themeColor="text1"/>
              </w:rPr>
              <w:t>Marla Emde, Nancy McClenny-Walters,</w:t>
            </w:r>
            <w:r w:rsidRPr="00D11E6E">
              <w:rPr>
                <w:rFonts w:ascii="Arial" w:hAnsi="Arial" w:cs="Arial"/>
                <w:color w:val="000000" w:themeColor="text1"/>
              </w:rPr>
              <w:t xml:space="preserve"> Jessica Gould, Annette Nesse, Marc McPherson, Scott Waller, Pam Pannkuk, Heidi Keller</w:t>
            </w:r>
          </w:p>
          <w:p w14:paraId="4D594947" w14:textId="32A36795" w:rsidR="004379D9" w:rsidRPr="004379D9" w:rsidRDefault="004379D9" w:rsidP="004379D9">
            <w:pPr>
              <w:tabs>
                <w:tab w:val="left" w:pos="3650"/>
              </w:tabs>
              <w:spacing w:after="0" w:line="240" w:lineRule="auto"/>
              <w:ind w:left="53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2F9110A" w14:textId="7F87A7A6" w:rsidR="00075C46" w:rsidRPr="006C4373" w:rsidRDefault="0052752C" w:rsidP="006C4373">
      <w:pPr>
        <w:pStyle w:val="ListParagraph"/>
        <w:numPr>
          <w:ilvl w:val="0"/>
          <w:numId w:val="5"/>
        </w:numPr>
        <w:spacing w:before="0" w:after="240" w:line="240" w:lineRule="auto"/>
        <w:contextualSpacing w:val="0"/>
        <w:rPr>
          <w:rFonts w:ascii="Arial" w:hAnsi="Arial" w:cs="Arial"/>
          <w:b/>
          <w:sz w:val="24"/>
        </w:rPr>
      </w:pPr>
      <w:r w:rsidRPr="006C4373">
        <w:rPr>
          <w:rFonts w:ascii="Arial" w:hAnsi="Arial" w:cs="Arial"/>
          <w:b/>
          <w:sz w:val="24"/>
        </w:rPr>
        <w:t>Announcements</w:t>
      </w:r>
    </w:p>
    <w:p w14:paraId="4BF327FE" w14:textId="158A9BCC" w:rsidR="0052752C" w:rsidRPr="006C4373" w:rsidRDefault="004379D9" w:rsidP="006C4373">
      <w:pPr>
        <w:pStyle w:val="ListParagraph"/>
        <w:numPr>
          <w:ilvl w:val="0"/>
          <w:numId w:val="9"/>
        </w:numPr>
        <w:spacing w:before="240" w:after="24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 xml:space="preserve">The </w:t>
      </w:r>
      <w:r w:rsidR="0069274F" w:rsidRPr="006C4373">
        <w:rPr>
          <w:rFonts w:ascii="Arial" w:hAnsi="Arial" w:cs="Arial"/>
          <w:sz w:val="24"/>
        </w:rPr>
        <w:t>Governor’s office requested changes to the 2017 Annual Report. The final version will be sent to the Council as soon as it is approved by the Governor’s office.</w:t>
      </w:r>
    </w:p>
    <w:p w14:paraId="6C0411C1" w14:textId="7E4569BE" w:rsidR="0069274F" w:rsidRPr="006C4373" w:rsidRDefault="0069274F" w:rsidP="006C4373">
      <w:pPr>
        <w:pStyle w:val="ListParagraph"/>
        <w:numPr>
          <w:ilvl w:val="0"/>
          <w:numId w:val="9"/>
        </w:numPr>
        <w:spacing w:before="240" w:after="24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In the legislature WA Bikes is following proposed changes to the vulnerable user law</w:t>
      </w:r>
    </w:p>
    <w:p w14:paraId="407B5663" w14:textId="16B62206" w:rsidR="00496AD6" w:rsidRPr="006C4373" w:rsidRDefault="0069274F" w:rsidP="006C4373">
      <w:pPr>
        <w:pStyle w:val="ListParagraph"/>
        <w:numPr>
          <w:ilvl w:val="0"/>
          <w:numId w:val="9"/>
        </w:numPr>
        <w:spacing w:before="240" w:after="24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Lis Kaster shared a list of recommendations to the Council from the Puyallup Watershed Initiative Active Transportation Community of Interest</w:t>
      </w:r>
      <w:r w:rsidR="006C4373">
        <w:rPr>
          <w:rFonts w:ascii="Arial" w:hAnsi="Arial" w:cs="Arial"/>
          <w:sz w:val="24"/>
        </w:rPr>
        <w:t>.</w:t>
      </w:r>
    </w:p>
    <w:p w14:paraId="7AAB728F" w14:textId="58B72007" w:rsidR="00C8390F" w:rsidRPr="006C4373" w:rsidRDefault="00BE5A52" w:rsidP="006C4373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hAnsi="Arial" w:cs="Arial"/>
          <w:b/>
          <w:sz w:val="24"/>
        </w:rPr>
      </w:pPr>
      <w:r w:rsidRPr="006C4373">
        <w:rPr>
          <w:rFonts w:ascii="Arial" w:hAnsi="Arial" w:cs="Arial"/>
          <w:b/>
          <w:sz w:val="24"/>
        </w:rPr>
        <w:t xml:space="preserve">Who does what? Whole group Exercise – </w:t>
      </w:r>
      <w:r w:rsidRPr="006C4373">
        <w:rPr>
          <w:rFonts w:ascii="Arial" w:hAnsi="Arial" w:cs="Arial"/>
          <w:sz w:val="24"/>
        </w:rPr>
        <w:t>Barb Chamberlain</w:t>
      </w:r>
    </w:p>
    <w:p w14:paraId="57A79425" w14:textId="0F562164" w:rsidR="00D535CE" w:rsidRPr="006C4373" w:rsidRDefault="00113685" w:rsidP="006C4373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hAnsi="Arial" w:cs="Arial"/>
          <w:b/>
          <w:sz w:val="24"/>
        </w:rPr>
      </w:pPr>
      <w:r w:rsidRPr="006C4373">
        <w:rPr>
          <w:rFonts w:ascii="Arial" w:hAnsi="Arial" w:cs="Arial"/>
          <w:b/>
          <w:sz w:val="24"/>
        </w:rPr>
        <w:t xml:space="preserve">Equity and Access Presentations, </w:t>
      </w:r>
      <w:r w:rsidRPr="006C4373">
        <w:rPr>
          <w:rFonts w:ascii="Arial" w:hAnsi="Arial" w:cs="Arial"/>
          <w:sz w:val="24"/>
        </w:rPr>
        <w:t>Liz Kaster and Ed Spinker</w:t>
      </w:r>
    </w:p>
    <w:p w14:paraId="59A04759" w14:textId="743FDBDD" w:rsidR="00A511C5" w:rsidRPr="006C4373" w:rsidRDefault="00862DF0" w:rsidP="006C4373">
      <w:pPr>
        <w:spacing w:before="240" w:after="240" w:line="240" w:lineRule="auto"/>
        <w:ind w:left="36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T</w:t>
      </w:r>
      <w:r w:rsidR="00075C46" w:rsidRPr="006C4373">
        <w:rPr>
          <w:rFonts w:ascii="Arial" w:hAnsi="Arial" w:cs="Arial"/>
          <w:sz w:val="24"/>
        </w:rPr>
        <w:t xml:space="preserve">he </w:t>
      </w:r>
      <w:r w:rsidR="00621768" w:rsidRPr="006C4373">
        <w:rPr>
          <w:rFonts w:ascii="Arial" w:hAnsi="Arial" w:cs="Arial"/>
          <w:sz w:val="24"/>
        </w:rPr>
        <w:t>two</w:t>
      </w:r>
      <w:r w:rsidR="00113685" w:rsidRPr="006C4373">
        <w:rPr>
          <w:rFonts w:ascii="Arial" w:hAnsi="Arial" w:cs="Arial"/>
          <w:sz w:val="24"/>
        </w:rPr>
        <w:t xml:space="preserve"> presentations </w:t>
      </w:r>
      <w:r w:rsidRPr="006C4373">
        <w:rPr>
          <w:rFonts w:ascii="Arial" w:hAnsi="Arial" w:cs="Arial"/>
          <w:sz w:val="24"/>
        </w:rPr>
        <w:t xml:space="preserve">will be sent along with </w:t>
      </w:r>
      <w:r w:rsidR="0042543A" w:rsidRPr="006C4373">
        <w:rPr>
          <w:rFonts w:ascii="Arial" w:hAnsi="Arial" w:cs="Arial"/>
          <w:sz w:val="24"/>
        </w:rPr>
        <w:t xml:space="preserve">this </w:t>
      </w:r>
      <w:r w:rsidR="00075C46" w:rsidRPr="006C4373">
        <w:rPr>
          <w:rFonts w:ascii="Arial" w:hAnsi="Arial" w:cs="Arial"/>
          <w:sz w:val="24"/>
        </w:rPr>
        <w:t>meeting summary</w:t>
      </w:r>
      <w:r w:rsidR="0042543A" w:rsidRPr="006C4373">
        <w:rPr>
          <w:rFonts w:ascii="Arial" w:hAnsi="Arial" w:cs="Arial"/>
          <w:sz w:val="24"/>
        </w:rPr>
        <w:t xml:space="preserve"> via Email.</w:t>
      </w:r>
    </w:p>
    <w:p w14:paraId="3002042B" w14:textId="4E703C8C" w:rsidR="00113685" w:rsidRPr="006C4373" w:rsidRDefault="00113685" w:rsidP="006C4373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hAnsi="Arial" w:cs="Arial"/>
          <w:b/>
          <w:sz w:val="24"/>
        </w:rPr>
      </w:pPr>
      <w:r w:rsidRPr="006C4373">
        <w:rPr>
          <w:rFonts w:ascii="Arial" w:hAnsi="Arial" w:cs="Arial"/>
          <w:b/>
          <w:sz w:val="24"/>
        </w:rPr>
        <w:t>Integ</w:t>
      </w:r>
      <w:r w:rsidR="001554A1" w:rsidRPr="006C4373">
        <w:rPr>
          <w:rFonts w:ascii="Arial" w:hAnsi="Arial" w:cs="Arial"/>
          <w:b/>
          <w:sz w:val="24"/>
        </w:rPr>
        <w:t xml:space="preserve">rating </w:t>
      </w:r>
      <w:r w:rsidRPr="006C4373">
        <w:rPr>
          <w:rFonts w:ascii="Arial" w:hAnsi="Arial" w:cs="Arial"/>
          <w:b/>
          <w:sz w:val="24"/>
        </w:rPr>
        <w:t>Equity and Access into our work</w:t>
      </w:r>
    </w:p>
    <w:p w14:paraId="21A4F38B" w14:textId="77777777" w:rsidR="00113685" w:rsidRPr="006C4373" w:rsidRDefault="00113685" w:rsidP="006C4373">
      <w:pPr>
        <w:spacing w:before="240" w:after="240" w:line="240" w:lineRule="auto"/>
        <w:ind w:left="432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Discussion:</w:t>
      </w:r>
    </w:p>
    <w:p w14:paraId="16C6E27E" w14:textId="4326C1F2" w:rsidR="00E80CE5" w:rsidRPr="006C4373" w:rsidRDefault="00C8390F" w:rsidP="006C4373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According to the 2009 National Household Travel Survey</w:t>
      </w:r>
      <w:r w:rsidR="00862DF0" w:rsidRPr="006C4373">
        <w:rPr>
          <w:rFonts w:ascii="Arial" w:hAnsi="Arial" w:cs="Arial"/>
          <w:sz w:val="24"/>
        </w:rPr>
        <w:t>,</w:t>
      </w:r>
      <w:r w:rsidRPr="006C4373">
        <w:rPr>
          <w:rFonts w:ascii="Arial" w:hAnsi="Arial" w:cs="Arial"/>
          <w:sz w:val="24"/>
        </w:rPr>
        <w:t xml:space="preserve"> Blacks (12% of all trips) and Latinos (14.2% of all trips) walk more than Whites (9.7% of all trips). </w:t>
      </w:r>
    </w:p>
    <w:p w14:paraId="68D3439C" w14:textId="7C989D94" w:rsidR="00FF7304" w:rsidRPr="006C4373" w:rsidRDefault="00FF7304" w:rsidP="006C4373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Higher income neighborhoods tend to be served by better amen</w:t>
      </w:r>
      <w:r w:rsidR="00075C46" w:rsidRPr="006C4373">
        <w:rPr>
          <w:rFonts w:ascii="Arial" w:hAnsi="Arial" w:cs="Arial"/>
          <w:sz w:val="24"/>
        </w:rPr>
        <w:t>i</w:t>
      </w:r>
      <w:r w:rsidRPr="006C4373">
        <w:rPr>
          <w:rFonts w:ascii="Arial" w:hAnsi="Arial" w:cs="Arial"/>
          <w:sz w:val="24"/>
        </w:rPr>
        <w:t xml:space="preserve">ties (bike lanes and sidewalks) than lower income neighborhoods. </w:t>
      </w:r>
    </w:p>
    <w:p w14:paraId="5A54DF12" w14:textId="7F020366" w:rsidR="007E6D87" w:rsidRPr="006C4373" w:rsidRDefault="00FF7304" w:rsidP="006C4373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 xml:space="preserve">It’s possible that higher income </w:t>
      </w:r>
      <w:r w:rsidR="007E6D87" w:rsidRPr="006C4373">
        <w:rPr>
          <w:rFonts w:ascii="Arial" w:hAnsi="Arial" w:cs="Arial"/>
          <w:sz w:val="24"/>
        </w:rPr>
        <w:t>people are</w:t>
      </w:r>
      <w:r w:rsidRPr="006C4373">
        <w:rPr>
          <w:rFonts w:ascii="Arial" w:hAnsi="Arial" w:cs="Arial"/>
          <w:sz w:val="24"/>
        </w:rPr>
        <w:t xml:space="preserve"> more skilled at advocating for public services</w:t>
      </w:r>
      <w:r w:rsidR="00C8390F" w:rsidRPr="006C4373">
        <w:rPr>
          <w:rFonts w:ascii="Arial" w:hAnsi="Arial" w:cs="Arial"/>
          <w:sz w:val="24"/>
        </w:rPr>
        <w:t xml:space="preserve">, </w:t>
      </w:r>
      <w:r w:rsidRPr="006C4373">
        <w:rPr>
          <w:rFonts w:ascii="Arial" w:hAnsi="Arial" w:cs="Arial"/>
          <w:sz w:val="24"/>
        </w:rPr>
        <w:t>but data can be used to convince public officials that expenditures be targeted toward the greater need.</w:t>
      </w:r>
      <w:r w:rsidR="008730A6" w:rsidRPr="006C4373">
        <w:rPr>
          <w:rFonts w:ascii="Arial" w:hAnsi="Arial" w:cs="Arial"/>
          <w:sz w:val="24"/>
        </w:rPr>
        <w:t xml:space="preserve"> Data can be used to illuminate the disparity.</w:t>
      </w:r>
    </w:p>
    <w:p w14:paraId="5A0AFD2A" w14:textId="161BD70A" w:rsidR="00113685" w:rsidRPr="006C4373" w:rsidRDefault="008730A6" w:rsidP="006C4373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Analyzing and communicating d</w:t>
      </w:r>
      <w:r w:rsidR="00FF7304" w:rsidRPr="006C4373">
        <w:rPr>
          <w:rFonts w:ascii="Arial" w:hAnsi="Arial" w:cs="Arial"/>
          <w:sz w:val="24"/>
        </w:rPr>
        <w:t xml:space="preserve">ata can tell a compelling story. Example: </w:t>
      </w:r>
      <w:r w:rsidR="00C8390F" w:rsidRPr="006C4373">
        <w:rPr>
          <w:rFonts w:ascii="Arial" w:hAnsi="Arial" w:cs="Arial"/>
          <w:sz w:val="24"/>
        </w:rPr>
        <w:t>Every 8 days a</w:t>
      </w:r>
      <w:r w:rsidRPr="006C4373">
        <w:rPr>
          <w:rFonts w:ascii="Arial" w:hAnsi="Arial" w:cs="Arial"/>
          <w:sz w:val="24"/>
        </w:rPr>
        <w:t xml:space="preserve"> child in Tacoma is hit by a car while walking or biking.</w:t>
      </w:r>
    </w:p>
    <w:p w14:paraId="0726FD84" w14:textId="77777777" w:rsidR="008730A6" w:rsidRPr="006C4373" w:rsidRDefault="008730A6" w:rsidP="006C4373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The Council recognizes the n</w:t>
      </w:r>
      <w:r w:rsidR="007E6D87" w:rsidRPr="006C4373">
        <w:rPr>
          <w:rFonts w:ascii="Arial" w:hAnsi="Arial" w:cs="Arial"/>
          <w:sz w:val="24"/>
        </w:rPr>
        <w:t xml:space="preserve">eed </w:t>
      </w:r>
      <w:r w:rsidRPr="006C4373">
        <w:rPr>
          <w:rFonts w:ascii="Arial" w:hAnsi="Arial" w:cs="Arial"/>
          <w:sz w:val="24"/>
        </w:rPr>
        <w:t xml:space="preserve">to involve </w:t>
      </w:r>
      <w:r w:rsidR="007E6D87" w:rsidRPr="006C4373">
        <w:rPr>
          <w:rFonts w:ascii="Arial" w:hAnsi="Arial" w:cs="Arial"/>
          <w:sz w:val="24"/>
        </w:rPr>
        <w:t xml:space="preserve">more people of color in this </w:t>
      </w:r>
      <w:r w:rsidR="0052752C" w:rsidRPr="006C4373">
        <w:rPr>
          <w:rFonts w:ascii="Arial" w:hAnsi="Arial" w:cs="Arial"/>
          <w:sz w:val="24"/>
        </w:rPr>
        <w:t xml:space="preserve">process. </w:t>
      </w:r>
    </w:p>
    <w:p w14:paraId="264BEF85" w14:textId="19A761E5" w:rsidR="00113685" w:rsidRPr="006C4373" w:rsidRDefault="00C8390F" w:rsidP="006C4373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The Council can i</w:t>
      </w:r>
      <w:r w:rsidR="0052752C" w:rsidRPr="006C4373">
        <w:rPr>
          <w:rFonts w:ascii="Arial" w:hAnsi="Arial" w:cs="Arial"/>
          <w:sz w:val="24"/>
        </w:rPr>
        <w:t>nco</w:t>
      </w:r>
      <w:r w:rsidR="008730A6" w:rsidRPr="006C4373">
        <w:rPr>
          <w:rFonts w:ascii="Arial" w:hAnsi="Arial" w:cs="Arial"/>
          <w:sz w:val="24"/>
        </w:rPr>
        <w:t>rporate representatives of under</w:t>
      </w:r>
      <w:r w:rsidR="0052752C" w:rsidRPr="006C4373">
        <w:rPr>
          <w:rFonts w:ascii="Arial" w:hAnsi="Arial" w:cs="Arial"/>
          <w:sz w:val="24"/>
        </w:rPr>
        <w:t>represented communities</w:t>
      </w:r>
      <w:r w:rsidRPr="006C4373">
        <w:rPr>
          <w:rFonts w:ascii="Arial" w:hAnsi="Arial" w:cs="Arial"/>
          <w:sz w:val="24"/>
        </w:rPr>
        <w:t xml:space="preserve"> into specific meetings and discussions that impact</w:t>
      </w:r>
      <w:r w:rsidR="00862DF0" w:rsidRPr="006C4373">
        <w:rPr>
          <w:rFonts w:ascii="Arial" w:hAnsi="Arial" w:cs="Arial"/>
          <w:sz w:val="24"/>
        </w:rPr>
        <w:t xml:space="preserve"> them. </w:t>
      </w:r>
      <w:r w:rsidRPr="006C4373">
        <w:rPr>
          <w:rFonts w:ascii="Arial" w:hAnsi="Arial" w:cs="Arial"/>
          <w:sz w:val="24"/>
        </w:rPr>
        <w:t>Suggestion: t</w:t>
      </w:r>
      <w:r w:rsidR="0052752C" w:rsidRPr="006C4373">
        <w:rPr>
          <w:rFonts w:ascii="Arial" w:hAnsi="Arial" w:cs="Arial"/>
          <w:sz w:val="24"/>
        </w:rPr>
        <w:t>alk to leaders; gain input</w:t>
      </w:r>
      <w:r w:rsidR="008730A6" w:rsidRPr="006C4373">
        <w:rPr>
          <w:rFonts w:ascii="Arial" w:hAnsi="Arial" w:cs="Arial"/>
          <w:sz w:val="24"/>
        </w:rPr>
        <w:t>.</w:t>
      </w:r>
    </w:p>
    <w:p w14:paraId="75126CC3" w14:textId="0150BCC0" w:rsidR="0052752C" w:rsidRPr="006C4373" w:rsidRDefault="0052752C" w:rsidP="006C4373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 xml:space="preserve">As we </w:t>
      </w:r>
      <w:r w:rsidR="00862DF0" w:rsidRPr="006C4373">
        <w:rPr>
          <w:rFonts w:ascii="Arial" w:hAnsi="Arial" w:cs="Arial"/>
          <w:sz w:val="24"/>
        </w:rPr>
        <w:t>build</w:t>
      </w:r>
      <w:r w:rsidRPr="006C4373">
        <w:rPr>
          <w:rFonts w:ascii="Arial" w:hAnsi="Arial" w:cs="Arial"/>
          <w:sz w:val="24"/>
        </w:rPr>
        <w:t xml:space="preserve"> policy </w:t>
      </w:r>
      <w:r w:rsidR="00862DF0" w:rsidRPr="006C4373">
        <w:rPr>
          <w:rFonts w:ascii="Arial" w:hAnsi="Arial" w:cs="Arial"/>
          <w:sz w:val="24"/>
        </w:rPr>
        <w:t>recommendations,</w:t>
      </w:r>
      <w:r w:rsidRPr="006C4373">
        <w:rPr>
          <w:rFonts w:ascii="Arial" w:hAnsi="Arial" w:cs="Arial"/>
          <w:sz w:val="24"/>
        </w:rPr>
        <w:t xml:space="preserve"> ask the questi</w:t>
      </w:r>
      <w:r w:rsidR="00862DF0" w:rsidRPr="006C4373">
        <w:rPr>
          <w:rFonts w:ascii="Arial" w:hAnsi="Arial" w:cs="Arial"/>
          <w:sz w:val="24"/>
        </w:rPr>
        <w:t>on: how does this change equity? How does it</w:t>
      </w:r>
      <w:r w:rsidRPr="006C4373">
        <w:rPr>
          <w:rFonts w:ascii="Arial" w:hAnsi="Arial" w:cs="Arial"/>
          <w:sz w:val="24"/>
        </w:rPr>
        <w:t xml:space="preserve"> effect different groups</w:t>
      </w:r>
      <w:r w:rsidR="008730A6" w:rsidRPr="006C4373">
        <w:rPr>
          <w:rFonts w:ascii="Arial" w:hAnsi="Arial" w:cs="Arial"/>
          <w:sz w:val="24"/>
        </w:rPr>
        <w:t>? E.g. apply an</w:t>
      </w:r>
      <w:r w:rsidRPr="006C4373">
        <w:rPr>
          <w:rFonts w:ascii="Arial" w:hAnsi="Arial" w:cs="Arial"/>
          <w:sz w:val="24"/>
        </w:rPr>
        <w:t xml:space="preserve"> </w:t>
      </w:r>
      <w:r w:rsidR="00C8390F" w:rsidRPr="006C4373">
        <w:rPr>
          <w:rFonts w:ascii="Arial" w:hAnsi="Arial" w:cs="Arial"/>
          <w:sz w:val="24"/>
        </w:rPr>
        <w:t>“</w:t>
      </w:r>
      <w:r w:rsidRPr="006C4373">
        <w:rPr>
          <w:rFonts w:ascii="Arial" w:hAnsi="Arial" w:cs="Arial"/>
          <w:sz w:val="24"/>
        </w:rPr>
        <w:t>equity litmus test</w:t>
      </w:r>
      <w:r w:rsidR="008730A6" w:rsidRPr="006C4373">
        <w:rPr>
          <w:rFonts w:ascii="Arial" w:hAnsi="Arial" w:cs="Arial"/>
          <w:sz w:val="24"/>
        </w:rPr>
        <w:t>.</w:t>
      </w:r>
      <w:r w:rsidR="00C8390F" w:rsidRPr="006C4373">
        <w:rPr>
          <w:rFonts w:ascii="Arial" w:hAnsi="Arial" w:cs="Arial"/>
          <w:sz w:val="24"/>
        </w:rPr>
        <w:t>”</w:t>
      </w:r>
    </w:p>
    <w:p w14:paraId="01DA9129" w14:textId="7386540E" w:rsidR="0052752C" w:rsidRPr="006C4373" w:rsidRDefault="00C8390F" w:rsidP="006C4373">
      <w:pPr>
        <w:pStyle w:val="ListParagraph"/>
        <w:numPr>
          <w:ilvl w:val="0"/>
          <w:numId w:val="7"/>
        </w:numPr>
        <w:spacing w:before="120" w:after="12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Suggested examples</w:t>
      </w:r>
      <w:r w:rsidR="0052752C" w:rsidRPr="006C4373">
        <w:rPr>
          <w:rFonts w:ascii="Arial" w:hAnsi="Arial" w:cs="Arial"/>
          <w:sz w:val="24"/>
        </w:rPr>
        <w:t xml:space="preserve">: </w:t>
      </w:r>
      <w:r w:rsidR="008730A6" w:rsidRPr="006C4373">
        <w:rPr>
          <w:rFonts w:ascii="Arial" w:hAnsi="Arial" w:cs="Arial"/>
          <w:sz w:val="24"/>
        </w:rPr>
        <w:t xml:space="preserve">City of </w:t>
      </w:r>
      <w:r w:rsidR="0052752C" w:rsidRPr="006C4373">
        <w:rPr>
          <w:rFonts w:ascii="Arial" w:hAnsi="Arial" w:cs="Arial"/>
          <w:sz w:val="24"/>
        </w:rPr>
        <w:t>Seattle</w:t>
      </w:r>
      <w:r w:rsidR="008730A6" w:rsidRPr="006C4373">
        <w:rPr>
          <w:rFonts w:ascii="Arial" w:hAnsi="Arial" w:cs="Arial"/>
          <w:sz w:val="24"/>
        </w:rPr>
        <w:t xml:space="preserve"> </w:t>
      </w:r>
      <w:r w:rsidR="008730A6" w:rsidRPr="006C4373">
        <w:rPr>
          <w:rFonts w:ascii="Arial" w:hAnsi="Arial" w:cs="Arial"/>
          <w:i/>
          <w:sz w:val="24"/>
        </w:rPr>
        <w:t>Race and Social Justice Toolkit</w:t>
      </w:r>
      <w:r w:rsidR="008730A6" w:rsidRPr="006C4373">
        <w:rPr>
          <w:rFonts w:ascii="Arial" w:hAnsi="Arial" w:cs="Arial"/>
          <w:sz w:val="24"/>
        </w:rPr>
        <w:t xml:space="preserve">, </w:t>
      </w:r>
      <w:r w:rsidR="0052752C" w:rsidRPr="006C4373">
        <w:rPr>
          <w:rFonts w:ascii="Arial" w:hAnsi="Arial" w:cs="Arial"/>
          <w:sz w:val="24"/>
        </w:rPr>
        <w:t xml:space="preserve">and </w:t>
      </w:r>
      <w:r w:rsidR="008730A6" w:rsidRPr="006C4373">
        <w:rPr>
          <w:rFonts w:ascii="Arial" w:hAnsi="Arial" w:cs="Arial"/>
          <w:sz w:val="24"/>
        </w:rPr>
        <w:t xml:space="preserve">King County </w:t>
      </w:r>
      <w:r w:rsidR="008730A6" w:rsidRPr="006C4373">
        <w:rPr>
          <w:rFonts w:ascii="Arial" w:hAnsi="Arial" w:cs="Arial"/>
          <w:i/>
          <w:sz w:val="24"/>
        </w:rPr>
        <w:t>Equity Impact R</w:t>
      </w:r>
      <w:r w:rsidR="0052752C" w:rsidRPr="006C4373">
        <w:rPr>
          <w:rFonts w:ascii="Arial" w:hAnsi="Arial" w:cs="Arial"/>
          <w:i/>
          <w:sz w:val="24"/>
        </w:rPr>
        <w:t>eview</w:t>
      </w:r>
      <w:r w:rsidR="0052752C" w:rsidRPr="006C4373">
        <w:rPr>
          <w:rFonts w:ascii="Arial" w:hAnsi="Arial" w:cs="Arial"/>
          <w:sz w:val="24"/>
        </w:rPr>
        <w:t xml:space="preserve"> process</w:t>
      </w:r>
      <w:r w:rsidR="008730A6" w:rsidRPr="006C4373">
        <w:rPr>
          <w:rFonts w:ascii="Arial" w:hAnsi="Arial" w:cs="Arial"/>
          <w:sz w:val="24"/>
        </w:rPr>
        <w:t>.</w:t>
      </w:r>
    </w:p>
    <w:p w14:paraId="4F030B96" w14:textId="77777777" w:rsidR="00C8390F" w:rsidRPr="006C4373" w:rsidRDefault="008730A6" w:rsidP="006C4373">
      <w:pPr>
        <w:spacing w:before="240" w:after="240" w:line="240" w:lineRule="auto"/>
        <w:ind w:left="360"/>
        <w:rPr>
          <w:rFonts w:ascii="Arial" w:hAnsi="Arial" w:cs="Arial"/>
          <w:sz w:val="24"/>
        </w:rPr>
      </w:pPr>
      <w:r w:rsidRPr="006C4373">
        <w:rPr>
          <w:rFonts w:ascii="Arial" w:hAnsi="Arial" w:cs="Arial"/>
          <w:b/>
          <w:sz w:val="24"/>
        </w:rPr>
        <w:lastRenderedPageBreak/>
        <w:t>Conclu</w:t>
      </w:r>
      <w:r w:rsidR="00C8390F" w:rsidRPr="006C4373">
        <w:rPr>
          <w:rFonts w:ascii="Arial" w:hAnsi="Arial" w:cs="Arial"/>
          <w:b/>
          <w:sz w:val="24"/>
        </w:rPr>
        <w:t>sion: The Council will</w:t>
      </w:r>
      <w:r w:rsidRPr="006C4373">
        <w:rPr>
          <w:rFonts w:ascii="Arial" w:hAnsi="Arial" w:cs="Arial"/>
          <w:b/>
          <w:sz w:val="24"/>
        </w:rPr>
        <w:t xml:space="preserve"> consider equity and access issues in each meeting and discussion.</w:t>
      </w:r>
      <w:r w:rsidRPr="006C4373">
        <w:rPr>
          <w:rFonts w:ascii="Arial" w:hAnsi="Arial" w:cs="Arial"/>
          <w:sz w:val="24"/>
        </w:rPr>
        <w:t xml:space="preserve"> </w:t>
      </w:r>
    </w:p>
    <w:p w14:paraId="0DED92F3" w14:textId="42E067C9" w:rsidR="008730A6" w:rsidRPr="006C4373" w:rsidRDefault="008730A6" w:rsidP="006C4373">
      <w:pPr>
        <w:spacing w:before="240" w:after="240" w:line="240" w:lineRule="auto"/>
        <w:ind w:left="36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Suggested reading:</w:t>
      </w:r>
    </w:p>
    <w:p w14:paraId="53BB7C8E" w14:textId="19A535D5" w:rsidR="008730A6" w:rsidRPr="006C4373" w:rsidRDefault="00C21D3E" w:rsidP="006C4373">
      <w:pPr>
        <w:pStyle w:val="ListParagraph"/>
        <w:numPr>
          <w:ilvl w:val="0"/>
          <w:numId w:val="12"/>
        </w:numPr>
        <w:spacing w:before="240" w:after="24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Bike Equity Network listserv</w:t>
      </w:r>
      <w:r w:rsidR="008730A6" w:rsidRPr="006C4373">
        <w:rPr>
          <w:rFonts w:ascii="Arial" w:hAnsi="Arial" w:cs="Arial"/>
          <w:sz w:val="24"/>
        </w:rPr>
        <w:t>,</w:t>
      </w:r>
      <w:r w:rsidR="00075C46" w:rsidRPr="006C4373">
        <w:rPr>
          <w:rFonts w:ascii="Arial" w:hAnsi="Arial" w:cs="Arial"/>
          <w:sz w:val="24"/>
        </w:rPr>
        <w:t xml:space="preserve"> </w:t>
      </w:r>
      <w:hyperlink r:id="rId7" w:tgtFrame="_blank" w:history="1">
        <w:r w:rsidR="00075C46" w:rsidRPr="006C4373">
          <w:rPr>
            <w:rStyle w:val="Hyperlink"/>
            <w:rFonts w:ascii="Arial" w:hAnsi="Arial" w:cs="Arial"/>
            <w:i/>
            <w:iCs/>
            <w:sz w:val="24"/>
          </w:rPr>
          <w:t>http://www.urbanadonia.com/p/bike-equity-network.html</w:t>
        </w:r>
      </w:hyperlink>
      <w:r w:rsidR="00075C46" w:rsidRPr="006C4373">
        <w:rPr>
          <w:rFonts w:ascii="Arial" w:hAnsi="Arial" w:cs="Arial"/>
          <w:i/>
          <w:iCs/>
          <w:color w:val="000000"/>
          <w:sz w:val="24"/>
        </w:rPr>
        <w:t xml:space="preserve">. </w:t>
      </w:r>
      <w:r w:rsidR="00075C46" w:rsidRPr="006C4373">
        <w:rPr>
          <w:rFonts w:ascii="Arial" w:hAnsi="Arial" w:cs="Arial"/>
          <w:sz w:val="24"/>
        </w:rPr>
        <w:t>(back</w:t>
      </w:r>
      <w:r w:rsidR="00C8390F" w:rsidRPr="006C4373">
        <w:rPr>
          <w:rFonts w:ascii="Arial" w:hAnsi="Arial" w:cs="Arial"/>
          <w:sz w:val="24"/>
        </w:rPr>
        <w:t>ground information available here</w:t>
      </w:r>
      <w:r w:rsidR="008730A6" w:rsidRPr="006C4373">
        <w:rPr>
          <w:rFonts w:ascii="Arial" w:hAnsi="Arial" w:cs="Arial"/>
          <w:sz w:val="24"/>
        </w:rPr>
        <w:t xml:space="preserve"> </w:t>
      </w:r>
      <w:hyperlink r:id="rId8" w:history="1">
        <w:r w:rsidRPr="006C4373">
          <w:rPr>
            <w:rStyle w:val="Hyperlink"/>
            <w:rFonts w:ascii="Arial" w:hAnsi="Arial" w:cs="Arial"/>
            <w:sz w:val="24"/>
          </w:rPr>
          <w:t>https://www.nten.org/article/from-offline-to-online-and-back-again-the-bike-equity-network/</w:t>
        </w:r>
      </w:hyperlink>
      <w:r w:rsidR="00C8390F" w:rsidRPr="006C4373">
        <w:rPr>
          <w:rFonts w:ascii="Arial" w:hAnsi="Arial" w:cs="Arial"/>
          <w:sz w:val="24"/>
        </w:rPr>
        <w:t>)</w:t>
      </w:r>
    </w:p>
    <w:p w14:paraId="08EE1939" w14:textId="60CBE89C" w:rsidR="00075C46" w:rsidRPr="006C4373" w:rsidRDefault="00075C46" w:rsidP="006C4373">
      <w:pPr>
        <w:pStyle w:val="ListParagraph"/>
        <w:numPr>
          <w:ilvl w:val="0"/>
          <w:numId w:val="12"/>
        </w:numPr>
        <w:spacing w:before="240" w:after="24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 xml:space="preserve">Washington Department of Health </w:t>
      </w:r>
      <w:r w:rsidRPr="006C4373">
        <w:rPr>
          <w:rFonts w:ascii="Arial" w:hAnsi="Arial" w:cs="Arial"/>
          <w:i/>
          <w:iCs/>
          <w:color w:val="000000"/>
          <w:sz w:val="24"/>
        </w:rPr>
        <w:t>Statewide Health Equity Data Washington Tracking Network</w:t>
      </w:r>
      <w:r w:rsidRPr="006C4373">
        <w:rPr>
          <w:rFonts w:ascii="Arial" w:hAnsi="Arial" w:cs="Arial"/>
          <w:iCs/>
          <w:color w:val="000000"/>
          <w:sz w:val="24"/>
        </w:rPr>
        <w:t xml:space="preserve">, </w:t>
      </w:r>
      <w:hyperlink r:id="rId9" w:tgtFrame="_blank" w:history="1">
        <w:r w:rsidRPr="006C4373">
          <w:rPr>
            <w:rStyle w:val="Hyperlink"/>
            <w:rFonts w:ascii="Arial" w:hAnsi="Arial" w:cs="Arial"/>
            <w:iCs/>
            <w:sz w:val="24"/>
          </w:rPr>
          <w:t>https://fortress.wa.gov/doh/wtn/WTNIBL/</w:t>
        </w:r>
      </w:hyperlink>
      <w:r w:rsidRPr="006C4373">
        <w:rPr>
          <w:rFonts w:ascii="Arial" w:hAnsi="Arial" w:cs="Arial"/>
          <w:iCs/>
          <w:color w:val="000000"/>
          <w:sz w:val="24"/>
        </w:rPr>
        <w:t>.</w:t>
      </w:r>
    </w:p>
    <w:p w14:paraId="443064E4" w14:textId="128B6900" w:rsidR="00C21D3E" w:rsidRPr="006C4373" w:rsidRDefault="00C21D3E" w:rsidP="006C4373">
      <w:pPr>
        <w:pStyle w:val="ListParagraph"/>
        <w:numPr>
          <w:ilvl w:val="0"/>
          <w:numId w:val="10"/>
        </w:numPr>
        <w:spacing w:before="240" w:after="24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Scott is encouraged to send articles and resources that are relevant to each meeting.</w:t>
      </w:r>
    </w:p>
    <w:p w14:paraId="5CEE948F" w14:textId="7A36D301" w:rsidR="0052752C" w:rsidRPr="006C4373" w:rsidRDefault="00C8390F" w:rsidP="006C4373">
      <w:pPr>
        <w:pStyle w:val="ListParagraph"/>
        <w:numPr>
          <w:ilvl w:val="0"/>
          <w:numId w:val="10"/>
        </w:numPr>
        <w:spacing w:before="240" w:after="240" w:line="240" w:lineRule="auto"/>
        <w:contextualSpacing w:val="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>Also suggested:</w:t>
      </w:r>
      <w:r w:rsidR="00C21D3E" w:rsidRPr="006C4373">
        <w:rPr>
          <w:rFonts w:ascii="Arial" w:hAnsi="Arial" w:cs="Arial"/>
          <w:sz w:val="24"/>
        </w:rPr>
        <w:t xml:space="preserve"> set up a</w:t>
      </w:r>
      <w:r w:rsidRPr="006C4373">
        <w:rPr>
          <w:rFonts w:ascii="Arial" w:hAnsi="Arial" w:cs="Arial"/>
          <w:sz w:val="24"/>
        </w:rPr>
        <w:t>n online</w:t>
      </w:r>
      <w:r w:rsidR="00C21D3E" w:rsidRPr="006C4373">
        <w:rPr>
          <w:rFonts w:ascii="Arial" w:hAnsi="Arial" w:cs="Arial"/>
          <w:sz w:val="24"/>
        </w:rPr>
        <w:t xml:space="preserve"> Dropbox where people can go to access articles on equity (rather than flooding Council members with Email attachments).</w:t>
      </w:r>
    </w:p>
    <w:p w14:paraId="45081E5B" w14:textId="54730D0A" w:rsidR="00113685" w:rsidRPr="006C4373" w:rsidRDefault="00113685" w:rsidP="006C4373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Arial" w:hAnsi="Arial" w:cs="Arial"/>
          <w:b/>
          <w:sz w:val="24"/>
        </w:rPr>
      </w:pPr>
      <w:r w:rsidRPr="006C4373">
        <w:rPr>
          <w:rFonts w:ascii="Arial" w:hAnsi="Arial" w:cs="Arial"/>
          <w:b/>
          <w:sz w:val="24"/>
        </w:rPr>
        <w:t>2018 meetin</w:t>
      </w:r>
      <w:bookmarkStart w:id="0" w:name="_GoBack"/>
      <w:bookmarkEnd w:id="0"/>
      <w:r w:rsidRPr="006C4373">
        <w:rPr>
          <w:rFonts w:ascii="Arial" w:hAnsi="Arial" w:cs="Arial"/>
          <w:b/>
          <w:sz w:val="24"/>
        </w:rPr>
        <w:t>gs</w:t>
      </w:r>
    </w:p>
    <w:p w14:paraId="6C998EA5" w14:textId="1165B7E4" w:rsidR="00113685" w:rsidRPr="006C4373" w:rsidRDefault="008730A6" w:rsidP="006C4373">
      <w:pPr>
        <w:spacing w:before="240" w:after="240" w:line="240" w:lineRule="auto"/>
        <w:ind w:left="360"/>
        <w:rPr>
          <w:rFonts w:ascii="Arial" w:hAnsi="Arial" w:cs="Arial"/>
          <w:sz w:val="24"/>
        </w:rPr>
      </w:pPr>
      <w:r w:rsidRPr="006C4373">
        <w:rPr>
          <w:rFonts w:ascii="Arial" w:hAnsi="Arial" w:cs="Arial"/>
          <w:sz w:val="24"/>
        </w:rPr>
        <w:t xml:space="preserve">The Council </w:t>
      </w:r>
      <w:r w:rsidR="00C8390F" w:rsidRPr="006C4373">
        <w:rPr>
          <w:rFonts w:ascii="Arial" w:hAnsi="Arial" w:cs="Arial"/>
          <w:sz w:val="24"/>
        </w:rPr>
        <w:t xml:space="preserve">was asked to map out their next meetings in order of the topics they want to address. See next page for the </w:t>
      </w:r>
      <w:r w:rsidRPr="006C4373">
        <w:rPr>
          <w:rFonts w:ascii="Arial" w:hAnsi="Arial" w:cs="Arial"/>
          <w:sz w:val="24"/>
        </w:rPr>
        <w:t>content of meetings through July 2018.</w:t>
      </w:r>
    </w:p>
    <w:p w14:paraId="459F41DF" w14:textId="77777777" w:rsidR="00113685" w:rsidRPr="006C4373" w:rsidRDefault="00113685" w:rsidP="006C4373">
      <w:pPr>
        <w:spacing w:before="240" w:after="240" w:line="240" w:lineRule="auto"/>
        <w:rPr>
          <w:rFonts w:ascii="Arial" w:hAnsi="Arial" w:cs="Arial"/>
          <w:sz w:val="24"/>
        </w:rPr>
      </w:pPr>
    </w:p>
    <w:p w14:paraId="3857F8BE" w14:textId="77777777" w:rsidR="005808FA" w:rsidRPr="006C4373" w:rsidRDefault="005808FA" w:rsidP="006C4373">
      <w:pPr>
        <w:spacing w:before="240" w:after="240" w:line="240" w:lineRule="auto"/>
        <w:rPr>
          <w:rFonts w:ascii="Arial" w:hAnsi="Arial" w:cs="Arial"/>
          <w:sz w:val="24"/>
        </w:rPr>
      </w:pPr>
    </w:p>
    <w:p w14:paraId="21EE5DE7" w14:textId="77777777" w:rsidR="005808FA" w:rsidRPr="006C4373" w:rsidRDefault="005808FA" w:rsidP="006C4373">
      <w:pPr>
        <w:spacing w:before="240" w:after="240" w:line="240" w:lineRule="auto"/>
        <w:rPr>
          <w:rFonts w:ascii="Arial" w:hAnsi="Arial" w:cs="Arial"/>
          <w:sz w:val="24"/>
        </w:rPr>
      </w:pPr>
    </w:p>
    <w:p w14:paraId="670A9744" w14:textId="77777777" w:rsidR="005808FA" w:rsidRPr="006C4373" w:rsidRDefault="005808FA" w:rsidP="006C4373">
      <w:pPr>
        <w:spacing w:before="240" w:after="240" w:line="240" w:lineRule="auto"/>
        <w:rPr>
          <w:rFonts w:ascii="Arial" w:hAnsi="Arial" w:cs="Arial"/>
          <w:sz w:val="24"/>
        </w:rPr>
        <w:sectPr w:rsidR="005808FA" w:rsidRPr="006C4373" w:rsidSect="00392DB9">
          <w:footerReference w:type="even" r:id="rId10"/>
          <w:footerReference w:type="default" r:id="rId11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2"/>
        <w:gridCol w:w="1746"/>
        <w:gridCol w:w="1991"/>
        <w:gridCol w:w="1264"/>
        <w:gridCol w:w="1655"/>
        <w:gridCol w:w="1421"/>
        <w:gridCol w:w="705"/>
        <w:gridCol w:w="813"/>
        <w:gridCol w:w="2093"/>
      </w:tblGrid>
      <w:tr w:rsidR="005808FA" w14:paraId="47DF3F7D" w14:textId="77777777" w:rsidTr="00E90C55">
        <w:tc>
          <w:tcPr>
            <w:tcW w:w="0" w:type="auto"/>
            <w:gridSpan w:val="9"/>
          </w:tcPr>
          <w:p w14:paraId="7ED4E196" w14:textId="4FA04EC0" w:rsidR="005808FA" w:rsidRPr="00E90C55" w:rsidRDefault="005808FA" w:rsidP="005808FA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0C55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Equity in all work</w:t>
            </w:r>
          </w:p>
        </w:tc>
      </w:tr>
      <w:tr w:rsidR="005808FA" w14:paraId="19770DF6" w14:textId="77777777" w:rsidTr="00E90C55">
        <w:tc>
          <w:tcPr>
            <w:tcW w:w="0" w:type="auto"/>
          </w:tcPr>
          <w:p w14:paraId="5A936BF6" w14:textId="53F9F9C9" w:rsidR="005808FA" w:rsidRPr="005808FA" w:rsidRDefault="005808FA" w:rsidP="005808FA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February</w:t>
            </w:r>
          </w:p>
        </w:tc>
        <w:tc>
          <w:tcPr>
            <w:tcW w:w="0" w:type="auto"/>
          </w:tcPr>
          <w:p w14:paraId="64A19621" w14:textId="37F06C49" w:rsidR="005808FA" w:rsidRPr="005808FA" w:rsidRDefault="005808FA" w:rsidP="005808FA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March</w:t>
            </w:r>
          </w:p>
        </w:tc>
        <w:tc>
          <w:tcPr>
            <w:tcW w:w="0" w:type="auto"/>
            <w:gridSpan w:val="2"/>
          </w:tcPr>
          <w:p w14:paraId="50DD3399" w14:textId="44644852" w:rsidR="005808FA" w:rsidRPr="005808FA" w:rsidRDefault="005808FA" w:rsidP="005808FA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April/May</w:t>
            </w:r>
            <w:r w:rsidR="00E90C55">
              <w:rPr>
                <w:rFonts w:ascii="Calibri" w:hAnsi="Calibri" w:cs="Arial"/>
                <w:b/>
                <w:sz w:val="22"/>
                <w:szCs w:val="22"/>
              </w:rPr>
              <w:t xml:space="preserve"> -  </w:t>
            </w:r>
            <w:r w:rsidR="00E90C55" w:rsidRPr="00E82308">
              <w:rPr>
                <w:rFonts w:ascii="Calibri" w:hAnsi="Calibri" w:cs="Arial"/>
                <w:b/>
              </w:rPr>
              <w:t>All day in Spokane</w:t>
            </w:r>
          </w:p>
        </w:tc>
        <w:tc>
          <w:tcPr>
            <w:tcW w:w="0" w:type="auto"/>
            <w:gridSpan w:val="2"/>
          </w:tcPr>
          <w:p w14:paraId="1E2E6B9A" w14:textId="10C8C59D" w:rsidR="005808FA" w:rsidRPr="005808FA" w:rsidRDefault="005808FA" w:rsidP="005808FA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June</w:t>
            </w:r>
          </w:p>
        </w:tc>
        <w:tc>
          <w:tcPr>
            <w:tcW w:w="0" w:type="auto"/>
            <w:gridSpan w:val="2"/>
          </w:tcPr>
          <w:p w14:paraId="141A0345" w14:textId="0651A858" w:rsidR="005808FA" w:rsidRPr="005808FA" w:rsidRDefault="005808FA" w:rsidP="005808FA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July</w:t>
            </w:r>
          </w:p>
        </w:tc>
        <w:tc>
          <w:tcPr>
            <w:tcW w:w="0" w:type="auto"/>
          </w:tcPr>
          <w:p w14:paraId="44FC2DD5" w14:textId="05B3F20B" w:rsidR="005808FA" w:rsidRPr="005808FA" w:rsidRDefault="005808FA" w:rsidP="005808FA">
            <w:pPr>
              <w:spacing w:after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To Be Scheduled</w:t>
            </w:r>
          </w:p>
        </w:tc>
      </w:tr>
      <w:tr w:rsidR="00107354" w14:paraId="19FC25A1" w14:textId="77777777" w:rsidTr="00E90C55">
        <w:tc>
          <w:tcPr>
            <w:tcW w:w="0" w:type="auto"/>
          </w:tcPr>
          <w:p w14:paraId="075F5815" w14:textId="63593AB4" w:rsidR="00E90C55" w:rsidRPr="00E90C55" w:rsidRDefault="00E90C55" w:rsidP="00113685">
            <w:pPr>
              <w:spacing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Who does what?</w:t>
            </w:r>
          </w:p>
        </w:tc>
        <w:tc>
          <w:tcPr>
            <w:tcW w:w="0" w:type="auto"/>
          </w:tcPr>
          <w:p w14:paraId="6FC2DC91" w14:textId="022B7E5B" w:rsidR="00E90C55" w:rsidRPr="00E90C55" w:rsidRDefault="00E90C55" w:rsidP="00113685">
            <w:pPr>
              <w:spacing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Where is the money for bicycle safety &amp; where are we spending it now?</w:t>
            </w:r>
          </w:p>
        </w:tc>
        <w:tc>
          <w:tcPr>
            <w:tcW w:w="0" w:type="auto"/>
          </w:tcPr>
          <w:p w14:paraId="219496B2" w14:textId="777B2BE4" w:rsidR="00E90C55" w:rsidRPr="00E90C55" w:rsidRDefault="00E90C55" w:rsidP="00113685">
            <w:pPr>
              <w:spacing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How do we get the best data?</w:t>
            </w:r>
          </w:p>
        </w:tc>
        <w:tc>
          <w:tcPr>
            <w:tcW w:w="0" w:type="auto"/>
          </w:tcPr>
          <w:p w14:paraId="5C65F36B" w14:textId="6DAD23ED" w:rsidR="00E90C55" w:rsidRPr="00E90C55" w:rsidRDefault="00E90C55" w:rsidP="00113685">
            <w:pPr>
              <w:spacing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What are relevant laws &amp; policies?</w:t>
            </w:r>
          </w:p>
        </w:tc>
        <w:tc>
          <w:tcPr>
            <w:tcW w:w="0" w:type="auto"/>
          </w:tcPr>
          <w:p w14:paraId="4E383805" w14:textId="5B3F33D6" w:rsidR="00E90C55" w:rsidRPr="00E90C55" w:rsidRDefault="00E90C55" w:rsidP="00113685">
            <w:pPr>
              <w:spacing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What are the best practices?</w:t>
            </w:r>
          </w:p>
        </w:tc>
        <w:tc>
          <w:tcPr>
            <w:tcW w:w="0" w:type="auto"/>
          </w:tcPr>
          <w:p w14:paraId="5DCA0416" w14:textId="0C952245" w:rsidR="00E90C55" w:rsidRPr="00E90C55" w:rsidRDefault="00E90C55" w:rsidP="00113685">
            <w:pPr>
              <w:spacing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How do we increase ridership?</w:t>
            </w:r>
          </w:p>
        </w:tc>
        <w:tc>
          <w:tcPr>
            <w:tcW w:w="0" w:type="auto"/>
          </w:tcPr>
          <w:p w14:paraId="2A0BABE4" w14:textId="36A81CCD" w:rsidR="00E90C55" w:rsidRPr="00E90C55" w:rsidRDefault="00E90C55" w:rsidP="00113685">
            <w:pPr>
              <w:spacing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Fiscal Rec’s</w:t>
            </w:r>
          </w:p>
        </w:tc>
        <w:tc>
          <w:tcPr>
            <w:tcW w:w="0" w:type="auto"/>
          </w:tcPr>
          <w:p w14:paraId="1CCE12E3" w14:textId="6A65B71E" w:rsidR="00E90C55" w:rsidRPr="00E90C55" w:rsidRDefault="00E90C55" w:rsidP="00113685">
            <w:pPr>
              <w:spacing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How do we make the case?</w:t>
            </w:r>
          </w:p>
        </w:tc>
        <w:tc>
          <w:tcPr>
            <w:tcW w:w="0" w:type="auto"/>
            <w:vMerge w:val="restart"/>
          </w:tcPr>
          <w:p w14:paraId="65EDB8D9" w14:textId="77777777" w:rsidR="00E90C55" w:rsidRPr="00E90C55" w:rsidRDefault="00E90C55" w:rsidP="000367FD">
            <w:pPr>
              <w:spacing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Case Reviews</w:t>
            </w:r>
          </w:p>
          <w:p w14:paraId="6BD93B3D" w14:textId="77777777" w:rsidR="00E90C55" w:rsidRPr="00E90C55" w:rsidRDefault="00E90C55" w:rsidP="000367FD">
            <w:pPr>
              <w:spacing w:after="0"/>
              <w:rPr>
                <w:rFonts w:ascii="Calibri" w:hAnsi="Calibri" w:cs="Arial"/>
              </w:rPr>
            </w:pPr>
            <w:r w:rsidRPr="00E90C55">
              <w:rPr>
                <w:rFonts w:ascii="Calibri" w:hAnsi="Calibri" w:cs="Arial"/>
                <w:b/>
              </w:rPr>
              <w:t xml:space="preserve">-- </w:t>
            </w:r>
            <w:r w:rsidRPr="00E90C55">
              <w:rPr>
                <w:rFonts w:ascii="Calibri" w:hAnsi="Calibri" w:cs="Arial"/>
              </w:rPr>
              <w:t>Looking at representative cases where there was a bicycle fatality and driver was not cited</w:t>
            </w:r>
          </w:p>
          <w:p w14:paraId="07C28E45" w14:textId="77777777" w:rsidR="00E90C55" w:rsidRPr="00E90C55" w:rsidRDefault="00E90C55" w:rsidP="000367FD">
            <w:pPr>
              <w:spacing w:before="0" w:after="0"/>
              <w:rPr>
                <w:rFonts w:ascii="Calibri" w:hAnsi="Calibri" w:cs="Arial"/>
              </w:rPr>
            </w:pPr>
            <w:r w:rsidRPr="00E90C55">
              <w:rPr>
                <w:rFonts w:ascii="Calibri" w:hAnsi="Calibri" w:cs="Arial"/>
              </w:rPr>
              <w:t>-- Different types, road types (bike vs. vehicle, veh vs. bike, bike vs. ped)</w:t>
            </w:r>
          </w:p>
          <w:p w14:paraId="4DD8B153" w14:textId="77777777" w:rsidR="00E90C55" w:rsidRPr="00E90C55" w:rsidRDefault="00E90C55" w:rsidP="000367FD">
            <w:pPr>
              <w:spacing w:before="0" w:after="0"/>
              <w:rPr>
                <w:rFonts w:ascii="Calibri" w:hAnsi="Calibri" w:cs="Arial"/>
                <w:b/>
              </w:rPr>
            </w:pPr>
          </w:p>
          <w:p w14:paraId="0D17A934" w14:textId="77777777" w:rsidR="00E90C55" w:rsidRPr="00E90C55" w:rsidRDefault="00E90C55" w:rsidP="000367FD">
            <w:pPr>
              <w:spacing w:before="0"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What is the technology landscape going forward?</w:t>
            </w:r>
          </w:p>
          <w:p w14:paraId="5FC2E084" w14:textId="77777777" w:rsidR="00E90C55" w:rsidRPr="00E90C55" w:rsidRDefault="00E90C55" w:rsidP="000367FD">
            <w:pPr>
              <w:spacing w:before="120" w:after="0"/>
              <w:rPr>
                <w:rFonts w:ascii="Calibri" w:hAnsi="Calibri" w:cs="Arial"/>
                <w:b/>
              </w:rPr>
            </w:pPr>
          </w:p>
          <w:p w14:paraId="522C23BC" w14:textId="77777777" w:rsidR="00E90C55" w:rsidRPr="00E90C55" w:rsidRDefault="00E90C55" w:rsidP="000367FD">
            <w:pPr>
              <w:spacing w:after="0"/>
              <w:rPr>
                <w:rFonts w:ascii="Calibri" w:hAnsi="Calibri" w:cs="Arial"/>
                <w:b/>
              </w:rPr>
            </w:pPr>
            <w:r w:rsidRPr="00E90C55">
              <w:rPr>
                <w:rFonts w:ascii="Calibri" w:hAnsi="Calibri" w:cs="Arial"/>
                <w:b/>
              </w:rPr>
              <w:t>What are the educational needs?</w:t>
            </w:r>
          </w:p>
          <w:p w14:paraId="0263BFD6" w14:textId="77777777" w:rsidR="00E90C55" w:rsidRPr="00E90C55" w:rsidRDefault="00E90C55" w:rsidP="000367FD">
            <w:pPr>
              <w:spacing w:after="0"/>
              <w:rPr>
                <w:rFonts w:ascii="Calibri" w:hAnsi="Calibri" w:cs="Arial"/>
                <w:b/>
              </w:rPr>
            </w:pPr>
          </w:p>
          <w:p w14:paraId="47C334BB" w14:textId="77777777" w:rsidR="00E90C55" w:rsidRPr="00E90C55" w:rsidRDefault="00E90C55" w:rsidP="000367FD">
            <w:pPr>
              <w:spacing w:after="0"/>
              <w:rPr>
                <w:rFonts w:ascii="Calibri" w:hAnsi="Calibri"/>
                <w:b/>
              </w:rPr>
            </w:pPr>
            <w:r w:rsidRPr="00E90C55">
              <w:rPr>
                <w:rFonts w:ascii="Calibri" w:hAnsi="Calibri"/>
                <w:b/>
              </w:rPr>
              <w:t xml:space="preserve">What are the deliverables? </w:t>
            </w:r>
          </w:p>
          <w:p w14:paraId="26CAC86C" w14:textId="77777777" w:rsidR="00E90C55" w:rsidRPr="00E90C55" w:rsidRDefault="00E90C55" w:rsidP="000367FD">
            <w:pPr>
              <w:spacing w:after="0"/>
              <w:rPr>
                <w:rFonts w:ascii="Calibri" w:hAnsi="Calibri"/>
              </w:rPr>
            </w:pPr>
            <w:r w:rsidRPr="00E90C55">
              <w:rPr>
                <w:rFonts w:ascii="Calibri" w:hAnsi="Calibri"/>
                <w:b/>
              </w:rPr>
              <w:t xml:space="preserve">-- </w:t>
            </w:r>
            <w:r w:rsidRPr="00E90C55">
              <w:rPr>
                <w:rFonts w:ascii="Calibri" w:hAnsi="Calibri"/>
              </w:rPr>
              <w:t xml:space="preserve">What are concrete changes communities can make? </w:t>
            </w:r>
          </w:p>
          <w:p w14:paraId="28B745C4" w14:textId="4C77A396" w:rsidR="00E90C55" w:rsidRDefault="00E90C55" w:rsidP="00113685">
            <w:pPr>
              <w:rPr>
                <w:rFonts w:ascii="Calibri" w:hAnsi="Calibri" w:cs="Arial"/>
                <w:sz w:val="22"/>
                <w:szCs w:val="22"/>
              </w:rPr>
            </w:pPr>
            <w:r w:rsidRPr="00E90C55">
              <w:rPr>
                <w:rFonts w:ascii="Calibri" w:hAnsi="Calibri"/>
              </w:rPr>
              <w:t>-- What State/Federal changes can make it easier for smaller jurisdictions to get funds for safety improvements?</w:t>
            </w:r>
            <w:r w:rsidRPr="00C55A34">
              <w:rPr>
                <w:rFonts w:ascii="Calibri" w:hAnsi="Calibri"/>
              </w:rPr>
              <w:t xml:space="preserve"> </w:t>
            </w:r>
          </w:p>
        </w:tc>
      </w:tr>
      <w:tr w:rsidR="00107354" w14:paraId="3282CE4A" w14:textId="77777777" w:rsidTr="00E90C55">
        <w:tc>
          <w:tcPr>
            <w:tcW w:w="0" w:type="auto"/>
          </w:tcPr>
          <w:p w14:paraId="1FBE1CFE" w14:textId="77777777" w:rsidR="00E90C55" w:rsidRPr="00E90C55" w:rsidRDefault="00E90C55" w:rsidP="005808FA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Existing resources – better use</w:t>
            </w:r>
          </w:p>
          <w:p w14:paraId="5B6B0554" w14:textId="77777777" w:rsidR="00E90C55" w:rsidRPr="00E90C55" w:rsidRDefault="00E90C55" w:rsidP="005808FA">
            <w:pPr>
              <w:spacing w:after="12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 xml:space="preserve">Agencies involved beyond WSDOT- understand roles &amp; potential integration of effort: </w:t>
            </w:r>
            <w:r w:rsidRPr="00E90C55">
              <w:rPr>
                <w:rFonts w:ascii="Calibri" w:hAnsi="Calibri"/>
                <w:color w:val="000000" w:themeColor="text1"/>
                <w:sz w:val="18"/>
                <w:szCs w:val="18"/>
              </w:rPr>
              <w:t>Dept. of Licensing, State Patrol, OSPI, WTSC, Puget Sound Partnership, Courts/Legal System, WA Assoc. of Sheriffs and Police Chiefs</w:t>
            </w:r>
          </w:p>
          <w:p w14:paraId="33B8452D" w14:textId="77777777" w:rsidR="00E90C55" w:rsidRPr="00E90C55" w:rsidRDefault="00E90C55" w:rsidP="005808FA">
            <w:pPr>
              <w:spacing w:after="12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90C55">
              <w:rPr>
                <w:rFonts w:ascii="Calibri" w:hAnsi="Calibri"/>
                <w:color w:val="000000" w:themeColor="text1"/>
                <w:sz w:val="18"/>
                <w:szCs w:val="18"/>
              </w:rPr>
              <w:t>Fed – FHWA, NHTSA</w:t>
            </w:r>
          </w:p>
          <w:p w14:paraId="3F42AB23" w14:textId="77777777" w:rsidR="00E90C55" w:rsidRPr="00E90C55" w:rsidRDefault="00E90C55" w:rsidP="005808FA">
            <w:pPr>
              <w:spacing w:after="12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90C55">
              <w:rPr>
                <w:rFonts w:ascii="Calibri" w:hAnsi="Calibri"/>
                <w:color w:val="000000" w:themeColor="text1"/>
                <w:sz w:val="18"/>
                <w:szCs w:val="18"/>
              </w:rPr>
              <w:t>Local – RTPO, MPO, Association of Cities, Association of Counties</w:t>
            </w:r>
          </w:p>
          <w:p w14:paraId="793C5884" w14:textId="7BAC24BE" w:rsidR="00E90C55" w:rsidRPr="00E90C55" w:rsidRDefault="00E90C55" w:rsidP="005808FA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E90C55">
              <w:rPr>
                <w:rFonts w:ascii="Calibri" w:hAnsi="Calibri"/>
                <w:color w:val="000000" w:themeColor="text1"/>
                <w:sz w:val="18"/>
                <w:szCs w:val="18"/>
              </w:rPr>
              <w:t>How do agencies or entities communicate plans and use resources for planning/projects?</w:t>
            </w:r>
          </w:p>
        </w:tc>
        <w:tc>
          <w:tcPr>
            <w:tcW w:w="0" w:type="auto"/>
          </w:tcPr>
          <w:p w14:paraId="249F76E3" w14:textId="77777777" w:rsidR="00E90C55" w:rsidRPr="00E90C55" w:rsidRDefault="00E90C55" w:rsidP="005808FA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What percent of state transportation funding goes to bike projects? (allocation &amp; priorities)</w:t>
            </w:r>
          </w:p>
          <w:p w14:paraId="14A0A96D" w14:textId="77777777" w:rsidR="00E90C55" w:rsidRPr="00E90C55" w:rsidRDefault="00E90C55" w:rsidP="005808FA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Follow up on funded projects: effectiveness, results</w:t>
            </w:r>
          </w:p>
          <w:p w14:paraId="72908599" w14:textId="77777777" w:rsidR="00E90C55" w:rsidRPr="00E90C55" w:rsidRDefault="00E90C55" w:rsidP="005808FA">
            <w:pPr>
              <w:spacing w:after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90C55">
              <w:rPr>
                <w:rFonts w:ascii="Calibri" w:hAnsi="Calibri"/>
                <w:color w:val="000000" w:themeColor="text1"/>
                <w:sz w:val="18"/>
                <w:szCs w:val="18"/>
              </w:rPr>
              <w:t>Funding agencies allocating bike $:</w:t>
            </w:r>
          </w:p>
          <w:p w14:paraId="2D6237F8" w14:textId="77777777" w:rsidR="00E90C55" w:rsidRPr="00E90C55" w:rsidRDefault="00E90C55" w:rsidP="005808FA">
            <w:pPr>
              <w:spacing w:before="0" w:after="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90C55">
              <w:rPr>
                <w:rFonts w:ascii="Calibri" w:hAnsi="Calibri"/>
                <w:color w:val="000000" w:themeColor="text1"/>
                <w:sz w:val="18"/>
                <w:szCs w:val="18"/>
              </w:rPr>
              <w:t>-- Primary focus of funding criteria</w:t>
            </w:r>
          </w:p>
          <w:p w14:paraId="2C09E276" w14:textId="77777777" w:rsidR="00E90C55" w:rsidRPr="00E90C55" w:rsidRDefault="00E90C55" w:rsidP="005808FA">
            <w:pPr>
              <w:spacing w:before="0" w:after="12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90C55">
              <w:rPr>
                <w:rFonts w:ascii="Calibri" w:hAnsi="Calibri"/>
                <w:color w:val="000000" w:themeColor="text1"/>
                <w:sz w:val="18"/>
                <w:szCs w:val="18"/>
              </w:rPr>
              <w:t>-- Recommend changes to criteria (TIB “mobility”)</w:t>
            </w:r>
          </w:p>
          <w:p w14:paraId="124199A5" w14:textId="77777777" w:rsidR="00E90C55" w:rsidRPr="00E90C55" w:rsidRDefault="00E90C55" w:rsidP="005808FA">
            <w:pPr>
              <w:spacing w:after="120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E90C55">
              <w:rPr>
                <w:rFonts w:ascii="Calibri" w:hAnsi="Calibri"/>
                <w:color w:val="000000" w:themeColor="text1"/>
                <w:sz w:val="18"/>
                <w:szCs w:val="18"/>
              </w:rPr>
              <w:t>Where is the money and how is it accessed? What is required of applicants re: data, qualifications</w:t>
            </w:r>
          </w:p>
          <w:p w14:paraId="1B1CC7A7" w14:textId="79AFFB12" w:rsidR="00E90C55" w:rsidRPr="00E90C55" w:rsidRDefault="00E90C55" w:rsidP="005808FA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E90C55">
              <w:rPr>
                <w:rFonts w:ascii="Calibri" w:hAnsi="Calibri" w:cs="Arial"/>
                <w:sz w:val="18"/>
                <w:szCs w:val="18"/>
              </w:rPr>
              <w:t>More dedicated funding</w:t>
            </w:r>
          </w:p>
        </w:tc>
        <w:tc>
          <w:tcPr>
            <w:tcW w:w="0" w:type="auto"/>
          </w:tcPr>
          <w:p w14:paraId="2AF0469A" w14:textId="77777777" w:rsidR="00E90C55" w:rsidRPr="00E90C55" w:rsidRDefault="00E90C55" w:rsidP="005808FA">
            <w:pPr>
              <w:spacing w:after="120"/>
              <w:rPr>
                <w:rFonts w:ascii="Calibri" w:hAnsi="Calibri"/>
                <w:sz w:val="17"/>
                <w:szCs w:val="17"/>
              </w:rPr>
            </w:pPr>
            <w:r w:rsidRPr="00E90C55">
              <w:rPr>
                <w:rFonts w:ascii="Calibri" w:hAnsi="Calibri"/>
                <w:sz w:val="17"/>
                <w:szCs w:val="17"/>
              </w:rPr>
              <w:t>Better data – who is riding, crash collection data, how is it shared/accessed</w:t>
            </w:r>
          </w:p>
          <w:p w14:paraId="5ED15471" w14:textId="77777777" w:rsidR="00E90C55" w:rsidRPr="00E90C55" w:rsidRDefault="00E90C55" w:rsidP="005808FA">
            <w:pPr>
              <w:spacing w:after="120"/>
              <w:rPr>
                <w:rFonts w:ascii="Calibri" w:hAnsi="Calibri"/>
                <w:sz w:val="17"/>
                <w:szCs w:val="17"/>
              </w:rPr>
            </w:pPr>
            <w:r w:rsidRPr="00E90C55">
              <w:rPr>
                <w:rFonts w:ascii="Calibri" w:hAnsi="Calibri"/>
                <w:sz w:val="17"/>
                <w:szCs w:val="17"/>
              </w:rPr>
              <w:t>Analyze ridership surveys – how, why/why not, when, where</w:t>
            </w:r>
          </w:p>
          <w:p w14:paraId="1FA14C5E" w14:textId="77777777" w:rsidR="00E90C55" w:rsidRPr="00E90C55" w:rsidRDefault="00E90C55" w:rsidP="005808FA">
            <w:pPr>
              <w:spacing w:after="120"/>
              <w:rPr>
                <w:rFonts w:ascii="Calibri" w:hAnsi="Calibri"/>
                <w:sz w:val="17"/>
                <w:szCs w:val="17"/>
              </w:rPr>
            </w:pPr>
            <w:r w:rsidRPr="00E90C55">
              <w:rPr>
                <w:rFonts w:ascii="Calibri" w:hAnsi="Calibri"/>
                <w:sz w:val="17"/>
                <w:szCs w:val="17"/>
              </w:rPr>
              <w:t>Understand high-frequency collisions</w:t>
            </w:r>
          </w:p>
          <w:p w14:paraId="09FB7969" w14:textId="77777777" w:rsidR="00E90C55" w:rsidRPr="00E90C55" w:rsidRDefault="00E90C55" w:rsidP="005808FA">
            <w:pPr>
              <w:spacing w:after="120"/>
              <w:rPr>
                <w:rFonts w:ascii="Calibri" w:hAnsi="Calibri"/>
                <w:sz w:val="17"/>
                <w:szCs w:val="17"/>
              </w:rPr>
            </w:pPr>
            <w:r w:rsidRPr="00E90C55">
              <w:rPr>
                <w:rFonts w:ascii="Calibri" w:hAnsi="Calibri"/>
                <w:sz w:val="17"/>
                <w:szCs w:val="17"/>
              </w:rPr>
              <w:t>Best practices international safety data</w:t>
            </w:r>
          </w:p>
          <w:p w14:paraId="0F6D5AA8" w14:textId="77777777" w:rsidR="00E90C55" w:rsidRPr="00E90C55" w:rsidRDefault="00E90C55" w:rsidP="005808FA">
            <w:pPr>
              <w:spacing w:after="120"/>
              <w:rPr>
                <w:rFonts w:ascii="Calibri" w:hAnsi="Calibri"/>
                <w:sz w:val="17"/>
                <w:szCs w:val="17"/>
              </w:rPr>
            </w:pPr>
            <w:r w:rsidRPr="00E90C55">
              <w:rPr>
                <w:rFonts w:ascii="Calibri" w:hAnsi="Calibri"/>
                <w:sz w:val="17"/>
                <w:szCs w:val="17"/>
              </w:rPr>
              <w:t>Success metrics based on ridership rates</w:t>
            </w:r>
          </w:p>
          <w:p w14:paraId="713BAAA2" w14:textId="77777777" w:rsidR="00E90C55" w:rsidRPr="00E90C55" w:rsidRDefault="00E90C55" w:rsidP="005808FA">
            <w:pPr>
              <w:spacing w:after="120"/>
              <w:rPr>
                <w:rFonts w:ascii="Calibri" w:hAnsi="Calibri"/>
                <w:sz w:val="17"/>
                <w:szCs w:val="17"/>
              </w:rPr>
            </w:pPr>
            <w:r w:rsidRPr="00E90C55">
              <w:rPr>
                <w:rFonts w:ascii="Calibri" w:hAnsi="Calibri"/>
                <w:sz w:val="17"/>
                <w:szCs w:val="17"/>
              </w:rPr>
              <w:t>What is depth of distracted driving problem</w:t>
            </w:r>
          </w:p>
          <w:p w14:paraId="190DED42" w14:textId="77777777" w:rsidR="00E90C55" w:rsidRPr="00E90C55" w:rsidRDefault="00E90C55" w:rsidP="005808FA">
            <w:pPr>
              <w:spacing w:after="120"/>
              <w:rPr>
                <w:rFonts w:ascii="Calibri" w:hAnsi="Calibri"/>
                <w:color w:val="000000" w:themeColor="text1"/>
                <w:sz w:val="17"/>
                <w:szCs w:val="17"/>
              </w:rPr>
            </w:pPr>
            <w:r w:rsidRPr="00E90C55">
              <w:rPr>
                <w:rFonts w:ascii="Calibri" w:hAnsi="Calibri"/>
                <w:color w:val="000000" w:themeColor="text1"/>
                <w:sz w:val="17"/>
                <w:szCs w:val="17"/>
              </w:rPr>
              <w:t>Examining data and best practices for measuring bicycle ridership</w:t>
            </w:r>
          </w:p>
          <w:p w14:paraId="4653BFBD" w14:textId="77777777" w:rsidR="00E90C55" w:rsidRPr="00E90C55" w:rsidRDefault="00E90C55" w:rsidP="005808FA">
            <w:pPr>
              <w:spacing w:after="120"/>
              <w:rPr>
                <w:rFonts w:ascii="Calibri" w:hAnsi="Calibri"/>
                <w:color w:val="000000" w:themeColor="text1"/>
                <w:sz w:val="17"/>
                <w:szCs w:val="17"/>
              </w:rPr>
            </w:pPr>
            <w:r w:rsidRPr="00E90C55">
              <w:rPr>
                <w:rFonts w:ascii="Calibri" w:hAnsi="Calibri"/>
                <w:color w:val="000000" w:themeColor="text1"/>
                <w:sz w:val="17"/>
                <w:szCs w:val="17"/>
              </w:rPr>
              <w:t>Bicycle ridership data: Dongho (Seattle effort), Barb C. (State efforts)</w:t>
            </w:r>
          </w:p>
          <w:p w14:paraId="15EF896F" w14:textId="77777777" w:rsidR="00E90C55" w:rsidRPr="00E90C55" w:rsidRDefault="00E90C55" w:rsidP="005808FA">
            <w:pPr>
              <w:spacing w:after="120"/>
              <w:rPr>
                <w:rFonts w:ascii="Calibri" w:hAnsi="Calibri"/>
                <w:color w:val="000000" w:themeColor="text1"/>
                <w:sz w:val="17"/>
                <w:szCs w:val="17"/>
              </w:rPr>
            </w:pPr>
            <w:r w:rsidRPr="00E90C55">
              <w:rPr>
                <w:rFonts w:ascii="Calibri" w:hAnsi="Calibri"/>
                <w:color w:val="000000" w:themeColor="text1"/>
                <w:sz w:val="17"/>
                <w:szCs w:val="17"/>
              </w:rPr>
              <w:t>Barb C. – travel survey/oversampling, ALPACA</w:t>
            </w:r>
          </w:p>
          <w:p w14:paraId="3A240359" w14:textId="21781DA6" w:rsidR="00E90C55" w:rsidRPr="00E90C55" w:rsidRDefault="00E90C55" w:rsidP="005808FA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E90C55">
              <w:rPr>
                <w:rFonts w:ascii="Calibri" w:hAnsi="Calibri"/>
                <w:color w:val="000000" w:themeColor="text1"/>
                <w:sz w:val="17"/>
                <w:szCs w:val="17"/>
              </w:rPr>
              <w:t>Data collected/not collected; barriers</w:t>
            </w:r>
          </w:p>
        </w:tc>
        <w:tc>
          <w:tcPr>
            <w:tcW w:w="0" w:type="auto"/>
          </w:tcPr>
          <w:p w14:paraId="12A13138" w14:textId="51905C6F" w:rsidR="00E90C55" w:rsidRPr="00E90C55" w:rsidRDefault="00E90C55" w:rsidP="0011368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What transp. projects are exempt from bike/ped spending and why?</w:t>
            </w:r>
          </w:p>
        </w:tc>
        <w:tc>
          <w:tcPr>
            <w:tcW w:w="0" w:type="auto"/>
          </w:tcPr>
          <w:p w14:paraId="22B48444" w14:textId="77777777" w:rsidR="00E90C55" w:rsidRPr="00E90C55" w:rsidRDefault="00E90C55" w:rsidP="000367FD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Explore risk-based, cost effective infrastructure solutions</w:t>
            </w:r>
          </w:p>
          <w:p w14:paraId="0242F149" w14:textId="77777777" w:rsidR="00E90C55" w:rsidRPr="00E90C55" w:rsidRDefault="00E90C55" w:rsidP="000367FD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How is WA different? What can we learn from other states</w:t>
            </w:r>
          </w:p>
          <w:p w14:paraId="5D2F230F" w14:textId="77777777" w:rsidR="00E90C55" w:rsidRPr="00E90C55" w:rsidRDefault="00E90C55" w:rsidP="000367FD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Learn/apply best practices</w:t>
            </w:r>
          </w:p>
          <w:p w14:paraId="7460D05D" w14:textId="77777777" w:rsidR="00E90C55" w:rsidRPr="00E90C55" w:rsidRDefault="00E90C55" w:rsidP="000367FD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What are context-based solutions?</w:t>
            </w:r>
          </w:p>
          <w:p w14:paraId="41266F6E" w14:textId="77777777" w:rsidR="00E90C55" w:rsidRPr="00E90C55" w:rsidRDefault="00E90C55" w:rsidP="000367FD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Best practices – which are needed</w:t>
            </w:r>
          </w:p>
          <w:p w14:paraId="7A8D9B4F" w14:textId="77777777" w:rsidR="00E90C55" w:rsidRPr="00E90C55" w:rsidRDefault="00E90C55" w:rsidP="000367FD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Charlotte &amp; Bill S.: NACTO/AASHTO Bike Guide</w:t>
            </w:r>
          </w:p>
          <w:p w14:paraId="4CE9FA8C" w14:textId="258C296D" w:rsidR="00E90C55" w:rsidRPr="00E90C55" w:rsidRDefault="00E90C55" w:rsidP="0011368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Dongho: NCUTCD</w:t>
            </w:r>
          </w:p>
        </w:tc>
        <w:tc>
          <w:tcPr>
            <w:tcW w:w="0" w:type="auto"/>
          </w:tcPr>
          <w:p w14:paraId="5050636B" w14:textId="77777777" w:rsidR="00E90C55" w:rsidRPr="00E90C55" w:rsidRDefault="00E90C55" w:rsidP="000367FD">
            <w:pPr>
              <w:spacing w:after="120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More riders – especially young riders (making it safe for all levels of ridership)</w:t>
            </w:r>
          </w:p>
          <w:p w14:paraId="473DB875" w14:textId="3702DC1C" w:rsidR="00E90C55" w:rsidRPr="00E90C55" w:rsidRDefault="00E90C55" w:rsidP="0011368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All ages and abilities</w:t>
            </w:r>
          </w:p>
        </w:tc>
        <w:tc>
          <w:tcPr>
            <w:tcW w:w="0" w:type="auto"/>
            <w:gridSpan w:val="2"/>
          </w:tcPr>
          <w:p w14:paraId="5B2EE126" w14:textId="77777777" w:rsidR="00E90C55" w:rsidRPr="00E90C55" w:rsidRDefault="00E90C55" w:rsidP="000367FD">
            <w:pPr>
              <w:spacing w:after="12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E90C55">
              <w:rPr>
                <w:rFonts w:ascii="Calibri" w:hAnsi="Calibri"/>
                <w:b/>
                <w:sz w:val="18"/>
                <w:szCs w:val="18"/>
              </w:rPr>
              <w:t>Making the Case:</w:t>
            </w:r>
          </w:p>
          <w:p w14:paraId="3080542F" w14:textId="77777777" w:rsidR="00E90C55" w:rsidRPr="00E90C55" w:rsidRDefault="00E90C55" w:rsidP="000367FD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Safe mobility = livability messaging</w:t>
            </w:r>
          </w:p>
          <w:p w14:paraId="462A5FB2" w14:textId="77777777" w:rsidR="00E90C55" w:rsidRPr="00E90C55" w:rsidRDefault="00E90C55" w:rsidP="000367FD">
            <w:pPr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E90C55">
              <w:rPr>
                <w:rFonts w:ascii="Calibri" w:hAnsi="Calibri"/>
                <w:sz w:val="18"/>
                <w:szCs w:val="18"/>
              </w:rPr>
              <w:t>Communicate secondary benefits</w:t>
            </w:r>
          </w:p>
          <w:p w14:paraId="3F0B9E81" w14:textId="3B94B814" w:rsidR="00E90C55" w:rsidRPr="00E90C55" w:rsidRDefault="00107354" w:rsidP="0011368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Better comm., </w:t>
            </w:r>
            <w:r w:rsidR="00E90C55" w:rsidRPr="00E90C55">
              <w:rPr>
                <w:rFonts w:ascii="Calibri" w:hAnsi="Calibri"/>
                <w:sz w:val="18"/>
                <w:szCs w:val="18"/>
              </w:rPr>
              <w:t>social marketing</w:t>
            </w:r>
          </w:p>
        </w:tc>
        <w:tc>
          <w:tcPr>
            <w:tcW w:w="0" w:type="auto"/>
            <w:vMerge/>
          </w:tcPr>
          <w:p w14:paraId="3BCC9527" w14:textId="4A56259C" w:rsidR="00E90C55" w:rsidRPr="00E90C55" w:rsidRDefault="00E90C55" w:rsidP="00113685">
            <w:pPr>
              <w:spacing w:after="0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73A2DFD9" w14:textId="0020D538" w:rsidR="00202EC0" w:rsidRPr="00862DF0" w:rsidRDefault="006C4373" w:rsidP="00862DF0"/>
    <w:sectPr w:rsidR="00202EC0" w:rsidRPr="00862DF0" w:rsidSect="00107354">
      <w:pgSz w:w="15840" w:h="12240" w:orient="landscape"/>
      <w:pgMar w:top="1080" w:right="720" w:bottom="108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D690C" w14:textId="77777777" w:rsidR="00B85432" w:rsidRDefault="00B85432" w:rsidP="00862DF0">
      <w:pPr>
        <w:spacing w:before="0" w:after="0" w:line="240" w:lineRule="auto"/>
      </w:pPr>
      <w:r>
        <w:separator/>
      </w:r>
    </w:p>
  </w:endnote>
  <w:endnote w:type="continuationSeparator" w:id="0">
    <w:p w14:paraId="24EBFC2F" w14:textId="77777777" w:rsidR="00B85432" w:rsidRDefault="00B85432" w:rsidP="00862DF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A3C1D" w14:textId="77777777" w:rsidR="00862DF0" w:rsidRDefault="00862DF0" w:rsidP="009B53B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8801CF" w14:textId="77777777" w:rsidR="00862DF0" w:rsidRDefault="00862D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28800" w14:textId="5E3BCF95" w:rsidR="00862DF0" w:rsidRDefault="00862DF0" w:rsidP="009B53B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4373">
      <w:rPr>
        <w:rStyle w:val="PageNumber"/>
        <w:noProof/>
      </w:rPr>
      <w:t>1</w:t>
    </w:r>
    <w:r>
      <w:rPr>
        <w:rStyle w:val="PageNumber"/>
      </w:rPr>
      <w:fldChar w:fldCharType="end"/>
    </w:r>
  </w:p>
  <w:p w14:paraId="321D7C9E" w14:textId="77777777" w:rsidR="00862DF0" w:rsidRDefault="00862D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18D4F" w14:textId="77777777" w:rsidR="00B85432" w:rsidRDefault="00B85432" w:rsidP="00862DF0">
      <w:pPr>
        <w:spacing w:before="0" w:after="0" w:line="240" w:lineRule="auto"/>
      </w:pPr>
      <w:r>
        <w:separator/>
      </w:r>
    </w:p>
  </w:footnote>
  <w:footnote w:type="continuationSeparator" w:id="0">
    <w:p w14:paraId="06077073" w14:textId="77777777" w:rsidR="00B85432" w:rsidRDefault="00B85432" w:rsidP="00862DF0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21B86"/>
    <w:multiLevelType w:val="hybridMultilevel"/>
    <w:tmpl w:val="2434395C"/>
    <w:lvl w:ilvl="0" w:tplc="B4B624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" w15:restartNumberingAfterBreak="0">
    <w:nsid w:val="0F1B28B4"/>
    <w:multiLevelType w:val="hybridMultilevel"/>
    <w:tmpl w:val="7A429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F00C5"/>
    <w:multiLevelType w:val="hybridMultilevel"/>
    <w:tmpl w:val="56D826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D45CD0"/>
    <w:multiLevelType w:val="hybridMultilevel"/>
    <w:tmpl w:val="D062C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186A44"/>
    <w:multiLevelType w:val="hybridMultilevel"/>
    <w:tmpl w:val="3C866F04"/>
    <w:lvl w:ilvl="0" w:tplc="817037FC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60693"/>
    <w:multiLevelType w:val="hybridMultilevel"/>
    <w:tmpl w:val="BF56B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72286"/>
    <w:multiLevelType w:val="hybridMultilevel"/>
    <w:tmpl w:val="38301B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AE4B3C"/>
    <w:multiLevelType w:val="hybridMultilevel"/>
    <w:tmpl w:val="46440280"/>
    <w:lvl w:ilvl="0" w:tplc="C83ACF1E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B90119"/>
    <w:multiLevelType w:val="hybridMultilevel"/>
    <w:tmpl w:val="C8389D80"/>
    <w:lvl w:ilvl="0" w:tplc="67C0CD48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CD11682"/>
    <w:multiLevelType w:val="hybridMultilevel"/>
    <w:tmpl w:val="79DE9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BA0549"/>
    <w:multiLevelType w:val="hybridMultilevel"/>
    <w:tmpl w:val="569E7FE4"/>
    <w:lvl w:ilvl="0" w:tplc="2C123C14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A9E477E"/>
    <w:multiLevelType w:val="hybridMultilevel"/>
    <w:tmpl w:val="D7D005D0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6"/>
  </w:num>
  <w:num w:numId="5">
    <w:abstractNumId w:val="8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0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68"/>
    <w:rsid w:val="00075C46"/>
    <w:rsid w:val="000B18D8"/>
    <w:rsid w:val="000D6822"/>
    <w:rsid w:val="00103819"/>
    <w:rsid w:val="00107354"/>
    <w:rsid w:val="00113685"/>
    <w:rsid w:val="001267D4"/>
    <w:rsid w:val="001554A1"/>
    <w:rsid w:val="001773E9"/>
    <w:rsid w:val="001C6CA5"/>
    <w:rsid w:val="002C5200"/>
    <w:rsid w:val="00392DB9"/>
    <w:rsid w:val="003E6827"/>
    <w:rsid w:val="0042543A"/>
    <w:rsid w:val="004379D9"/>
    <w:rsid w:val="00496AD6"/>
    <w:rsid w:val="0052752C"/>
    <w:rsid w:val="0057253D"/>
    <w:rsid w:val="005808FA"/>
    <w:rsid w:val="00604603"/>
    <w:rsid w:val="00621768"/>
    <w:rsid w:val="00650CCD"/>
    <w:rsid w:val="0066474D"/>
    <w:rsid w:val="006703C2"/>
    <w:rsid w:val="00681A87"/>
    <w:rsid w:val="0069274F"/>
    <w:rsid w:val="006C4373"/>
    <w:rsid w:val="006F4906"/>
    <w:rsid w:val="0077075B"/>
    <w:rsid w:val="0077493C"/>
    <w:rsid w:val="007A349C"/>
    <w:rsid w:val="007B10B3"/>
    <w:rsid w:val="007E6BBD"/>
    <w:rsid w:val="007E6D87"/>
    <w:rsid w:val="00815652"/>
    <w:rsid w:val="00824481"/>
    <w:rsid w:val="00852F80"/>
    <w:rsid w:val="00862DF0"/>
    <w:rsid w:val="008730A6"/>
    <w:rsid w:val="00A511C5"/>
    <w:rsid w:val="00B85432"/>
    <w:rsid w:val="00BE5A52"/>
    <w:rsid w:val="00C141E9"/>
    <w:rsid w:val="00C21D3E"/>
    <w:rsid w:val="00C55A34"/>
    <w:rsid w:val="00C8390F"/>
    <w:rsid w:val="00C85B0F"/>
    <w:rsid w:val="00D535CE"/>
    <w:rsid w:val="00D739F9"/>
    <w:rsid w:val="00DA5768"/>
    <w:rsid w:val="00E25D80"/>
    <w:rsid w:val="00E44D6B"/>
    <w:rsid w:val="00E80CE5"/>
    <w:rsid w:val="00E82308"/>
    <w:rsid w:val="00E90C55"/>
    <w:rsid w:val="00EC1B77"/>
    <w:rsid w:val="00FF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07E4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768"/>
    <w:pPr>
      <w:spacing w:before="60" w:after="60" w:line="276" w:lineRule="auto"/>
    </w:pPr>
    <w:rPr>
      <w:rFonts w:eastAsia="Times New Roman" w:cs="Times New Roman"/>
      <w:sz w:val="20"/>
    </w:rPr>
  </w:style>
  <w:style w:type="paragraph" w:styleId="Heading1">
    <w:name w:val="heading 1"/>
    <w:basedOn w:val="Normal"/>
    <w:next w:val="Normal"/>
    <w:link w:val="Heading1Char"/>
    <w:qFormat/>
    <w:rsid w:val="00392DB9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92DB9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392DB9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5768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57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2DB9"/>
    <w:rPr>
      <w:rFonts w:asciiTheme="majorHAnsi" w:eastAsia="Times New Roman" w:hAnsiTheme="majorHAnsi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92DB9"/>
    <w:rPr>
      <w:rFonts w:eastAsia="Times New Roman" w:cs="Times New Roman"/>
      <w:b/>
      <w:sz w:val="22"/>
    </w:rPr>
  </w:style>
  <w:style w:type="character" w:customStyle="1" w:styleId="Heading3Char">
    <w:name w:val="Heading 3 Char"/>
    <w:basedOn w:val="DefaultParagraphFont"/>
    <w:link w:val="Heading3"/>
    <w:rsid w:val="00392DB9"/>
    <w:rPr>
      <w:rFonts w:eastAsia="Times New Roman" w:cs="Times New Roman"/>
      <w:b/>
      <w:sz w:val="20"/>
    </w:rPr>
  </w:style>
  <w:style w:type="character" w:styleId="Hyperlink">
    <w:name w:val="Hyperlink"/>
    <w:basedOn w:val="DefaultParagraphFont"/>
    <w:uiPriority w:val="99"/>
    <w:unhideWhenUsed/>
    <w:rsid w:val="00C21D3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62DF0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DF0"/>
    <w:rPr>
      <w:rFonts w:eastAsia="Times New Roman" w:cs="Times New Roman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862D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0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en.org/article/from-offline-to-online-and-back-again-the-bike-equity-network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rbanadonia.com/p/bike-equity-network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ortress.wa.gov/doh/wtn/WTNIBL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14CAFB7420BB4B8C29FA0D21A31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255AC-5D7A-6544-AB40-C2C10D3841D5}"/>
      </w:docPartPr>
      <w:docPartBody>
        <w:p w:rsidR="00C55925" w:rsidRDefault="00717C6F" w:rsidP="00717C6F">
          <w:pPr>
            <w:pStyle w:val="DD14CAFB7420BB4B8C29FA0D21A31261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B0EA183FFE25FB4EACECB1577C16A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F20BB-57C6-F346-98FD-5EC29506B6B1}"/>
      </w:docPartPr>
      <w:docPartBody>
        <w:p w:rsidR="00C55925" w:rsidRDefault="00717C6F" w:rsidP="00717C6F">
          <w:pPr>
            <w:pStyle w:val="B0EA183FFE25FB4EACECB1577C16A084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6F"/>
    <w:rsid w:val="001F6EFB"/>
    <w:rsid w:val="00361E5F"/>
    <w:rsid w:val="003B2504"/>
    <w:rsid w:val="00717C6F"/>
    <w:rsid w:val="008A008E"/>
    <w:rsid w:val="00C55925"/>
    <w:rsid w:val="00E02B92"/>
    <w:rsid w:val="00FD2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7C6F"/>
    <w:rPr>
      <w:color w:val="808080"/>
    </w:rPr>
  </w:style>
  <w:style w:type="paragraph" w:customStyle="1" w:styleId="DD14CAFB7420BB4B8C29FA0D21A31261">
    <w:name w:val="DD14CAFB7420BB4B8C29FA0D21A31261"/>
    <w:rsid w:val="00717C6F"/>
  </w:style>
  <w:style w:type="paragraph" w:customStyle="1" w:styleId="B0EA183FFE25FB4EACECB1577C16A084">
    <w:name w:val="B0EA183FFE25FB4EACECB1577C16A084"/>
    <w:rsid w:val="00717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Keller</dc:creator>
  <cp:keywords/>
  <dc:description/>
  <cp:lastModifiedBy>Waller, Scott (WTSC)</cp:lastModifiedBy>
  <cp:revision>3</cp:revision>
  <cp:lastPrinted>2018-01-16T23:56:00Z</cp:lastPrinted>
  <dcterms:created xsi:type="dcterms:W3CDTF">2018-04-06T23:14:00Z</dcterms:created>
  <dcterms:modified xsi:type="dcterms:W3CDTF">2018-06-26T15:57:00Z</dcterms:modified>
</cp:coreProperties>
</file>