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67" w:rsidRDefault="004C0ACB" w:rsidP="004C0ACB">
      <w:pPr>
        <w:spacing w:after="120"/>
        <w:jc w:val="center"/>
        <w:rPr>
          <w:sz w:val="28"/>
        </w:rPr>
      </w:pPr>
      <w:r w:rsidRPr="00120994">
        <w:rPr>
          <w:sz w:val="28"/>
        </w:rPr>
        <w:t>Pedestrian S</w:t>
      </w:r>
      <w:r>
        <w:rPr>
          <w:sz w:val="28"/>
        </w:rPr>
        <w:t xml:space="preserve">afety Advisory Council </w:t>
      </w:r>
    </w:p>
    <w:p w:rsidR="004C0ACB" w:rsidRPr="00120994" w:rsidRDefault="004C0ACB" w:rsidP="004C0ACB">
      <w:pPr>
        <w:spacing w:after="120"/>
        <w:jc w:val="center"/>
        <w:rPr>
          <w:sz w:val="28"/>
        </w:rPr>
      </w:pPr>
      <w:r>
        <w:rPr>
          <w:sz w:val="28"/>
        </w:rPr>
        <w:t>Meeting 7</w:t>
      </w:r>
      <w:r w:rsidRPr="00120994">
        <w:rPr>
          <w:sz w:val="28"/>
        </w:rPr>
        <w:t xml:space="preserve"> Summary</w:t>
      </w:r>
    </w:p>
    <w:p w:rsidR="004C0ACB" w:rsidRPr="00120994" w:rsidRDefault="004C0ACB" w:rsidP="004C0ACB">
      <w:pPr>
        <w:jc w:val="center"/>
        <w:rPr>
          <w:sz w:val="28"/>
        </w:rPr>
      </w:pPr>
      <w:r>
        <w:rPr>
          <w:sz w:val="28"/>
        </w:rPr>
        <w:t xml:space="preserve">October </w:t>
      </w:r>
      <w:r w:rsidR="00547167">
        <w:rPr>
          <w:sz w:val="28"/>
        </w:rPr>
        <w:t>26</w:t>
      </w:r>
      <w:r w:rsidRPr="00120994">
        <w:rPr>
          <w:sz w:val="28"/>
        </w:rPr>
        <w:t>, 2016, 10 am – 2:30 pm</w:t>
      </w:r>
    </w:p>
    <w:p w:rsidR="004C0ACB" w:rsidRPr="003B48E8" w:rsidRDefault="004C0ACB" w:rsidP="004C0ACB">
      <w:pPr>
        <w:jc w:val="center"/>
      </w:pPr>
    </w:p>
    <w:p w:rsidR="004C0ACB" w:rsidRDefault="004C0ACB" w:rsidP="004C0ACB">
      <w:pPr>
        <w:rPr>
          <w:sz w:val="28"/>
        </w:rPr>
      </w:pPr>
    </w:p>
    <w:p w:rsidR="004C0ACB" w:rsidRPr="00615AAB" w:rsidRDefault="004C0ACB" w:rsidP="004C0ACB">
      <w:pPr>
        <w:rPr>
          <w:sz w:val="20"/>
        </w:rPr>
      </w:pPr>
      <w:r w:rsidRPr="00615AAB">
        <w:rPr>
          <w:b/>
          <w:sz w:val="20"/>
        </w:rPr>
        <w:t>Attending:</w:t>
      </w:r>
      <w:r w:rsidRPr="00615AAB">
        <w:rPr>
          <w:sz w:val="20"/>
        </w:rPr>
        <w:t xml:space="preserve"> </w:t>
      </w:r>
      <w:r w:rsidR="00FB37EE" w:rsidRPr="00615AAB">
        <w:rPr>
          <w:sz w:val="20"/>
        </w:rPr>
        <w:t xml:space="preserve">Lisa Quinn, Julia </w:t>
      </w:r>
      <w:proofErr w:type="spellStart"/>
      <w:r w:rsidR="00FB37EE" w:rsidRPr="00615AAB">
        <w:rPr>
          <w:sz w:val="20"/>
        </w:rPr>
        <w:t>Reitan</w:t>
      </w:r>
      <w:proofErr w:type="spellEnd"/>
      <w:r w:rsidR="00FB37EE" w:rsidRPr="00615AAB">
        <w:rPr>
          <w:sz w:val="20"/>
        </w:rPr>
        <w:t xml:space="preserve">, </w:t>
      </w:r>
      <w:r w:rsidRPr="00615AAB">
        <w:rPr>
          <w:sz w:val="20"/>
        </w:rPr>
        <w:t xml:space="preserve">Janet Shull, Ida Van </w:t>
      </w:r>
      <w:proofErr w:type="spellStart"/>
      <w:r w:rsidRPr="00615AAB">
        <w:rPr>
          <w:sz w:val="20"/>
        </w:rPr>
        <w:t>S</w:t>
      </w:r>
      <w:r w:rsidR="00FB37EE" w:rsidRPr="00615AAB">
        <w:rPr>
          <w:sz w:val="20"/>
        </w:rPr>
        <w:t>chalkwyk</w:t>
      </w:r>
      <w:proofErr w:type="spellEnd"/>
      <w:r w:rsidR="00FB37EE" w:rsidRPr="00615AAB">
        <w:rPr>
          <w:sz w:val="20"/>
        </w:rPr>
        <w:t xml:space="preserve">, Charlotte </w:t>
      </w:r>
      <w:proofErr w:type="spellStart"/>
      <w:r w:rsidR="00FB37EE" w:rsidRPr="00615AAB">
        <w:rPr>
          <w:sz w:val="20"/>
        </w:rPr>
        <w:t>Claybrooke</w:t>
      </w:r>
      <w:proofErr w:type="spellEnd"/>
      <w:r w:rsidR="00FB37EE" w:rsidRPr="00615AAB">
        <w:rPr>
          <w:sz w:val="20"/>
        </w:rPr>
        <w:t>,</w:t>
      </w:r>
      <w:r w:rsidRPr="00615AAB">
        <w:rPr>
          <w:sz w:val="20"/>
        </w:rPr>
        <w:t xml:space="preserve"> Karen Wigen, Lt. Kurt Schwan, </w:t>
      </w:r>
      <w:r w:rsidR="00FB37EE" w:rsidRPr="00615AAB">
        <w:rPr>
          <w:sz w:val="20"/>
        </w:rPr>
        <w:t xml:space="preserve">Officer Paul Taylor </w:t>
      </w:r>
      <w:r w:rsidR="00EB43B7" w:rsidRPr="00615AAB">
        <w:rPr>
          <w:sz w:val="20"/>
        </w:rPr>
        <w:t>(</w:t>
      </w:r>
      <w:r w:rsidR="00FB37EE" w:rsidRPr="00615AAB">
        <w:rPr>
          <w:sz w:val="20"/>
        </w:rPr>
        <w:t xml:space="preserve">plus his </w:t>
      </w:r>
      <w:proofErr w:type="spellStart"/>
      <w:r w:rsidR="00FB37EE" w:rsidRPr="00615AAB">
        <w:rPr>
          <w:sz w:val="20"/>
        </w:rPr>
        <w:t>sergent</w:t>
      </w:r>
      <w:proofErr w:type="spellEnd"/>
      <w:r w:rsidR="00EB43B7" w:rsidRPr="00615AAB">
        <w:rPr>
          <w:sz w:val="20"/>
        </w:rPr>
        <w:t>)</w:t>
      </w:r>
      <w:r w:rsidR="00FB37EE" w:rsidRPr="00615AAB">
        <w:rPr>
          <w:sz w:val="20"/>
        </w:rPr>
        <w:t xml:space="preserve">, Captain Monica Alexander, </w:t>
      </w:r>
      <w:r w:rsidRPr="00615AAB">
        <w:rPr>
          <w:sz w:val="20"/>
        </w:rPr>
        <w:t xml:space="preserve">David Delgado, Christine Myers, Will Hitchcock, Aimee D’Avignon, </w:t>
      </w:r>
      <w:proofErr w:type="spellStart"/>
      <w:r w:rsidR="00547167" w:rsidRPr="00615AAB">
        <w:rPr>
          <w:sz w:val="20"/>
        </w:rPr>
        <w:t>Dongho</w:t>
      </w:r>
      <w:proofErr w:type="spellEnd"/>
      <w:r w:rsidR="00547167" w:rsidRPr="00615AAB">
        <w:rPr>
          <w:sz w:val="20"/>
        </w:rPr>
        <w:t xml:space="preserve"> Chang</w:t>
      </w:r>
      <w:r w:rsidR="00FB37EE" w:rsidRPr="00615AAB">
        <w:rPr>
          <w:sz w:val="20"/>
        </w:rPr>
        <w:t xml:space="preserve">, </w:t>
      </w:r>
      <w:r w:rsidRPr="00615AAB">
        <w:rPr>
          <w:sz w:val="20"/>
        </w:rPr>
        <w:t xml:space="preserve">Marc Anderson, </w:t>
      </w:r>
      <w:r w:rsidR="00FB37EE" w:rsidRPr="00615AAB">
        <w:rPr>
          <w:sz w:val="20"/>
        </w:rPr>
        <w:t xml:space="preserve">Mike </w:t>
      </w:r>
      <w:proofErr w:type="spellStart"/>
      <w:r w:rsidR="00FB37EE" w:rsidRPr="00615AAB">
        <w:rPr>
          <w:sz w:val="20"/>
        </w:rPr>
        <w:t>Dornfeld</w:t>
      </w:r>
      <w:proofErr w:type="spellEnd"/>
      <w:r w:rsidR="00FB37EE" w:rsidRPr="00615AAB">
        <w:rPr>
          <w:sz w:val="20"/>
        </w:rPr>
        <w:t xml:space="preserve">, Josh </w:t>
      </w:r>
      <w:proofErr w:type="spellStart"/>
      <w:r w:rsidR="00FB37EE" w:rsidRPr="00615AAB">
        <w:rPr>
          <w:sz w:val="20"/>
        </w:rPr>
        <w:t>Diekmann</w:t>
      </w:r>
      <w:proofErr w:type="spellEnd"/>
      <w:r w:rsidR="00FB37EE" w:rsidRPr="00615AAB">
        <w:rPr>
          <w:sz w:val="20"/>
        </w:rPr>
        <w:t xml:space="preserve">, </w:t>
      </w:r>
      <w:r w:rsidRPr="00615AAB">
        <w:rPr>
          <w:sz w:val="20"/>
        </w:rPr>
        <w:t>Shelly Baldwin</w:t>
      </w:r>
      <w:r w:rsidR="0009113C" w:rsidRPr="00615AAB">
        <w:rPr>
          <w:sz w:val="20"/>
        </w:rPr>
        <w:t>, Staci Hoff</w:t>
      </w:r>
      <w:r w:rsidR="00FB37EE" w:rsidRPr="00615AAB">
        <w:rPr>
          <w:sz w:val="20"/>
        </w:rPr>
        <w:t>, Darrin</w:t>
      </w:r>
      <w:r w:rsidR="0009113C" w:rsidRPr="00615AAB">
        <w:rPr>
          <w:sz w:val="20"/>
        </w:rPr>
        <w:t xml:space="preserve"> Grondel</w:t>
      </w:r>
    </w:p>
    <w:p w:rsidR="004C0ACB" w:rsidRPr="00615AAB" w:rsidRDefault="004C0ACB" w:rsidP="004C0ACB">
      <w:pPr>
        <w:rPr>
          <w:sz w:val="20"/>
        </w:rPr>
      </w:pPr>
    </w:p>
    <w:p w:rsidR="004C0ACB" w:rsidRPr="00615AAB" w:rsidRDefault="004C0ACB" w:rsidP="004C0ACB">
      <w:pPr>
        <w:rPr>
          <w:sz w:val="20"/>
        </w:rPr>
      </w:pPr>
      <w:r w:rsidRPr="00615AAB">
        <w:rPr>
          <w:b/>
          <w:sz w:val="20"/>
        </w:rPr>
        <w:t>Facilitator:</w:t>
      </w:r>
      <w:r w:rsidRPr="00615AAB">
        <w:rPr>
          <w:sz w:val="20"/>
        </w:rPr>
        <w:t xml:space="preserve"> Heidi Keller</w:t>
      </w:r>
      <w:r w:rsidR="00FB37EE" w:rsidRPr="00615AAB">
        <w:rPr>
          <w:sz w:val="20"/>
        </w:rPr>
        <w:t xml:space="preserve"> </w:t>
      </w:r>
    </w:p>
    <w:p w:rsidR="004C0ACB" w:rsidRDefault="004C0ACB"/>
    <w:p w:rsidR="00547167" w:rsidRDefault="0078666C" w:rsidP="00547167">
      <w:pPr>
        <w:spacing w:after="120"/>
      </w:pPr>
      <w:r>
        <w:t>2016 Action Items</w:t>
      </w:r>
    </w:p>
    <w:p w:rsidR="0078666C" w:rsidRDefault="0078666C" w:rsidP="0078666C">
      <w:pPr>
        <w:spacing w:after="120"/>
      </w:pPr>
      <w:r>
        <w:t>The Council finalized the recommendations that for the 2016 report. These are actions that are underway, with implementation continuing into 2017 and beyond (see page 2).</w:t>
      </w:r>
    </w:p>
    <w:p w:rsidR="0078666C" w:rsidRDefault="0078666C" w:rsidP="0078666C">
      <w:pPr>
        <w:spacing w:after="120"/>
      </w:pPr>
    </w:p>
    <w:p w:rsidR="0078666C" w:rsidRDefault="0078666C" w:rsidP="0078666C">
      <w:pPr>
        <w:spacing w:after="120"/>
      </w:pPr>
      <w:r>
        <w:t>2017 Work plan and Timeline</w:t>
      </w:r>
    </w:p>
    <w:p w:rsidR="0078666C" w:rsidRDefault="0078666C" w:rsidP="0078666C">
      <w:pPr>
        <w:spacing w:after="120"/>
      </w:pPr>
      <w:r>
        <w:t xml:space="preserve">The Council </w:t>
      </w:r>
      <w:r w:rsidR="00146FAC">
        <w:t>scheduled</w:t>
      </w:r>
      <w:r w:rsidR="00547167">
        <w:t xml:space="preserve"> 2017 action items</w:t>
      </w:r>
      <w:r>
        <w:t xml:space="preserve">. Members with specific interest and expertise volunteered to work on recommendations to bring back to the Council to be vetted and finalized (see page 3). </w:t>
      </w:r>
    </w:p>
    <w:p w:rsidR="0078666C" w:rsidRDefault="0078666C" w:rsidP="0078666C">
      <w:pPr>
        <w:spacing w:after="120"/>
      </w:pPr>
    </w:p>
    <w:p w:rsidR="00547167" w:rsidRDefault="0078666C" w:rsidP="0078666C">
      <w:pPr>
        <w:spacing w:after="120"/>
      </w:pPr>
      <w:r>
        <w:t xml:space="preserve">Future Meetings  </w:t>
      </w:r>
      <w:r w:rsidR="00547167">
        <w:t xml:space="preserve"> </w:t>
      </w:r>
    </w:p>
    <w:p w:rsidR="00EE1A12" w:rsidRDefault="0078666C" w:rsidP="0078666C">
      <w:pPr>
        <w:spacing w:after="120"/>
      </w:pPr>
      <w:r>
        <w:t xml:space="preserve">The Council will </w:t>
      </w:r>
      <w:r w:rsidR="00547167">
        <w:t>continue meeting monthly in 2017</w:t>
      </w:r>
      <w:r>
        <w:t>. This can be re-evaluated depending on progress.</w:t>
      </w:r>
    </w:p>
    <w:p w:rsidR="00146FAC" w:rsidRDefault="00146FAC" w:rsidP="00FB37EE"/>
    <w:p w:rsidR="00146FAC" w:rsidRDefault="00146FAC" w:rsidP="00FB37EE"/>
    <w:p w:rsidR="00547167" w:rsidRPr="003838BA" w:rsidRDefault="0009113C" w:rsidP="00547167">
      <w:pPr>
        <w:spacing w:after="120"/>
        <w:rPr>
          <w:b/>
        </w:rPr>
      </w:pPr>
      <w:r w:rsidRPr="003838BA">
        <w:rPr>
          <w:b/>
        </w:rPr>
        <w:t>Next meeting:</w:t>
      </w:r>
      <w:r w:rsidR="00FB37EE" w:rsidRPr="003838BA">
        <w:rPr>
          <w:b/>
        </w:rPr>
        <w:t xml:space="preserve">  </w:t>
      </w:r>
      <w:r w:rsidR="004C0ACB" w:rsidRPr="003838BA">
        <w:rPr>
          <w:b/>
        </w:rPr>
        <w:t>December 7</w:t>
      </w:r>
      <w:r w:rsidRPr="003838BA">
        <w:rPr>
          <w:b/>
        </w:rPr>
        <w:t>, 10 am – 2:30 pm</w:t>
      </w:r>
      <w:r w:rsidR="00547167" w:rsidRPr="003838BA">
        <w:rPr>
          <w:b/>
        </w:rPr>
        <w:t xml:space="preserve"> at WTSC in Olympia</w:t>
      </w:r>
    </w:p>
    <w:p w:rsidR="00547167" w:rsidRPr="003838BA" w:rsidRDefault="00547167" w:rsidP="00547167">
      <w:pPr>
        <w:spacing w:after="120"/>
        <w:rPr>
          <w:b/>
        </w:rPr>
      </w:pPr>
      <w:r w:rsidRPr="003838BA">
        <w:rPr>
          <w:b/>
        </w:rPr>
        <w:t>Purpose: Review and finalize draft annual report to the Governor</w:t>
      </w:r>
    </w:p>
    <w:p w:rsidR="00547167" w:rsidRDefault="00547167"/>
    <w:p w:rsidR="00547167" w:rsidRDefault="00547167"/>
    <w:p w:rsidR="0022572A" w:rsidRPr="0022572A" w:rsidRDefault="0022572A" w:rsidP="0022572A">
      <w:pPr>
        <w:spacing w:after="120"/>
        <w:rPr>
          <w:b/>
        </w:rPr>
      </w:pPr>
      <w:r w:rsidRPr="0022572A">
        <w:rPr>
          <w:b/>
        </w:rPr>
        <w:t>Attach</w:t>
      </w:r>
      <w:r>
        <w:rPr>
          <w:b/>
        </w:rPr>
        <w:t>ments</w:t>
      </w:r>
    </w:p>
    <w:p w:rsidR="0022572A" w:rsidRDefault="0022572A" w:rsidP="0022572A">
      <w:pPr>
        <w:spacing w:after="120"/>
      </w:pPr>
      <w:r>
        <w:t>Actions Launched in 2016 – Page 2</w:t>
      </w:r>
    </w:p>
    <w:p w:rsidR="00EB43B7" w:rsidRDefault="0022572A" w:rsidP="0022572A">
      <w:pPr>
        <w:spacing w:after="120"/>
      </w:pPr>
      <w:r w:rsidRPr="0022572A">
        <w:t>2017 Work Plan and Timeline</w:t>
      </w:r>
      <w:r>
        <w:t xml:space="preserve"> – Page 3</w:t>
      </w:r>
    </w:p>
    <w:p w:rsidR="00EB43B7" w:rsidRDefault="00615AAB" w:rsidP="00EB43B7">
      <w:pPr>
        <w:spacing w:after="120"/>
      </w:pPr>
      <w:r>
        <w:t>Overview: Focus Areas and Timeline – Page 6</w:t>
      </w:r>
    </w:p>
    <w:p w:rsidR="00EB43B7" w:rsidRPr="00EB43B7" w:rsidRDefault="00EB43B7" w:rsidP="00EB43B7">
      <w:pPr>
        <w:spacing w:after="120"/>
      </w:pPr>
    </w:p>
    <w:p w:rsidR="0022572A" w:rsidRDefault="0022572A" w:rsidP="0022572A">
      <w:pPr>
        <w:spacing w:after="120"/>
      </w:pPr>
    </w:p>
    <w:p w:rsidR="0022572A" w:rsidRPr="0022572A" w:rsidRDefault="0022572A" w:rsidP="0022572A">
      <w:pPr>
        <w:spacing w:after="120"/>
      </w:pPr>
    </w:p>
    <w:p w:rsidR="0022572A" w:rsidRDefault="0022572A" w:rsidP="0022572A">
      <w:pPr>
        <w:spacing w:after="120"/>
      </w:pPr>
    </w:p>
    <w:p w:rsidR="0022572A" w:rsidRDefault="0022572A" w:rsidP="0022572A">
      <w:pPr>
        <w:spacing w:after="120"/>
        <w:rPr>
          <w:b/>
        </w:rPr>
      </w:pPr>
      <w:bookmarkStart w:id="0" w:name="_GoBack"/>
      <w:bookmarkEnd w:id="0"/>
    </w:p>
    <w:p w:rsidR="0022572A" w:rsidRPr="00EB43B7" w:rsidRDefault="0022572A" w:rsidP="0022572A">
      <w:pPr>
        <w:rPr>
          <w:b/>
        </w:rPr>
      </w:pPr>
      <w:r w:rsidRPr="00EB43B7">
        <w:rPr>
          <w:b/>
        </w:rPr>
        <w:t xml:space="preserve">Actions Launched in 2016 </w:t>
      </w:r>
    </w:p>
    <w:p w:rsidR="0022572A" w:rsidRPr="0022572A" w:rsidRDefault="0022572A" w:rsidP="0022572A">
      <w:pPr>
        <w:rPr>
          <w:sz w:val="20"/>
        </w:rPr>
      </w:pPr>
    </w:p>
    <w:p w:rsidR="0022572A" w:rsidRPr="0022572A" w:rsidRDefault="0022572A" w:rsidP="0022572A">
      <w:pPr>
        <w:rPr>
          <w:sz w:val="20"/>
        </w:rPr>
      </w:pPr>
      <w:r>
        <w:rPr>
          <w:sz w:val="20"/>
        </w:rPr>
        <w:t>The Council identified the following four actions that are underway and will be more fully desc</w:t>
      </w:r>
      <w:r w:rsidR="00EB43B7">
        <w:rPr>
          <w:sz w:val="20"/>
        </w:rPr>
        <w:t xml:space="preserve">ribed in the 2016 annual report. </w:t>
      </w:r>
    </w:p>
    <w:p w:rsidR="0022572A" w:rsidRPr="0022572A" w:rsidRDefault="0022572A" w:rsidP="0022572A">
      <w:pPr>
        <w:rPr>
          <w:sz w:val="20"/>
        </w:rPr>
      </w:pPr>
    </w:p>
    <w:p w:rsidR="0022572A" w:rsidRPr="0022572A" w:rsidRDefault="0022572A" w:rsidP="0022572A">
      <w:pPr>
        <w:rPr>
          <w:b/>
          <w:i/>
          <w:sz w:val="20"/>
        </w:rPr>
      </w:pPr>
      <w:r w:rsidRPr="0022572A">
        <w:rPr>
          <w:b/>
          <w:i/>
          <w:sz w:val="20"/>
        </w:rPr>
        <w:t>Focus Area 1. Explore laws, rules, and ordinances that support pedestrian safety</w:t>
      </w:r>
    </w:p>
    <w:p w:rsidR="00EB43B7" w:rsidRDefault="00EB43B7" w:rsidP="0022572A">
      <w:pPr>
        <w:rPr>
          <w:i/>
          <w:sz w:val="20"/>
        </w:rPr>
      </w:pPr>
      <w:r>
        <w:rPr>
          <w:i/>
          <w:sz w:val="20"/>
        </w:rPr>
        <w:t xml:space="preserve">Lead: Charlotte </w:t>
      </w:r>
      <w:proofErr w:type="spellStart"/>
      <w:r>
        <w:rPr>
          <w:i/>
          <w:sz w:val="20"/>
        </w:rPr>
        <w:t>Claybrooke</w:t>
      </w:r>
      <w:proofErr w:type="spellEnd"/>
      <w:r>
        <w:rPr>
          <w:i/>
          <w:sz w:val="20"/>
        </w:rPr>
        <w:t>, WSDOT</w:t>
      </w:r>
    </w:p>
    <w:p w:rsidR="0022572A" w:rsidRPr="0022572A" w:rsidRDefault="0022572A" w:rsidP="0022572A">
      <w:pPr>
        <w:rPr>
          <w:b/>
          <w:i/>
          <w:sz w:val="20"/>
        </w:rPr>
      </w:pPr>
    </w:p>
    <w:p w:rsidR="0022572A" w:rsidRPr="0022572A" w:rsidRDefault="0022572A" w:rsidP="0022572A">
      <w:pPr>
        <w:ind w:left="720"/>
        <w:rPr>
          <w:i/>
          <w:sz w:val="20"/>
        </w:rPr>
      </w:pPr>
      <w:r w:rsidRPr="0022572A">
        <w:rPr>
          <w:i/>
          <w:sz w:val="20"/>
        </w:rPr>
        <w:t xml:space="preserve">1.1. Encourage counties, cities, and Tribes to take advantage of existing R.C.W.’s to establish maximum speed limits of 20 mph on non-arterial roads that are within a residential or business district. </w:t>
      </w:r>
    </w:p>
    <w:p w:rsidR="0022572A" w:rsidRPr="0022572A" w:rsidRDefault="0022572A" w:rsidP="0022572A">
      <w:pPr>
        <w:pStyle w:val="ListParagraph"/>
        <w:spacing w:before="0" w:after="0"/>
        <w:ind w:left="1080"/>
        <w:rPr>
          <w:rFonts w:ascii="Arial" w:hAnsi="Arial"/>
          <w:sz w:val="20"/>
        </w:rPr>
      </w:pPr>
    </w:p>
    <w:p w:rsidR="00EB43B7" w:rsidRDefault="0022572A" w:rsidP="00EB43B7">
      <w:pPr>
        <w:pStyle w:val="ListParagraph"/>
        <w:spacing w:before="0" w:after="120"/>
        <w:rPr>
          <w:rFonts w:ascii="Arial" w:hAnsi="Arial"/>
          <w:i/>
          <w:sz w:val="20"/>
        </w:rPr>
      </w:pPr>
      <w:r w:rsidRPr="0022572A">
        <w:rPr>
          <w:rFonts w:ascii="Arial" w:hAnsi="Arial"/>
          <w:i/>
          <w:sz w:val="20"/>
        </w:rPr>
        <w:t xml:space="preserve">RCW 46.61.440 applies to cities and towns; RCW 46.62.480 applies to </w:t>
      </w:r>
      <w:r w:rsidR="00EB43B7">
        <w:rPr>
          <w:rFonts w:ascii="Arial" w:hAnsi="Arial"/>
          <w:i/>
          <w:sz w:val="20"/>
        </w:rPr>
        <w:t>T</w:t>
      </w:r>
      <w:r w:rsidRPr="0022572A">
        <w:rPr>
          <w:rFonts w:ascii="Arial" w:hAnsi="Arial"/>
          <w:i/>
          <w:sz w:val="20"/>
        </w:rPr>
        <w:t xml:space="preserve">ribes. </w:t>
      </w:r>
    </w:p>
    <w:p w:rsidR="00EB43B7" w:rsidRDefault="00EB43B7" w:rsidP="00EB43B7">
      <w:pPr>
        <w:pStyle w:val="ListParagraph"/>
        <w:spacing w:before="0" w:after="120"/>
        <w:rPr>
          <w:rFonts w:ascii="Arial" w:hAnsi="Arial"/>
          <w:i/>
          <w:sz w:val="20"/>
        </w:rPr>
      </w:pPr>
    </w:p>
    <w:p w:rsidR="00EB43B7" w:rsidRDefault="00EB43B7" w:rsidP="00EB43B7">
      <w:pPr>
        <w:pStyle w:val="ListParagraph"/>
        <w:spacing w:before="0" w:after="12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1.6. Encourage lower design/posted/operating speeds on all roads where pedestrians are likely to be present.</w:t>
      </w:r>
    </w:p>
    <w:p w:rsidR="00EB43B7" w:rsidRPr="00EB43B7" w:rsidRDefault="00EB43B7" w:rsidP="00EB43B7">
      <w:pPr>
        <w:ind w:left="720"/>
        <w:rPr>
          <w:i/>
          <w:sz w:val="20"/>
        </w:rPr>
      </w:pPr>
    </w:p>
    <w:p w:rsidR="0022572A" w:rsidRPr="00EB43B7" w:rsidRDefault="0022572A" w:rsidP="00EB43B7">
      <w:pPr>
        <w:ind w:left="720"/>
        <w:rPr>
          <w:b/>
          <w:i/>
          <w:sz w:val="20"/>
        </w:rPr>
      </w:pPr>
    </w:p>
    <w:p w:rsidR="0022572A" w:rsidRPr="0022572A" w:rsidRDefault="0022572A" w:rsidP="0022572A">
      <w:pPr>
        <w:widowControl w:val="0"/>
        <w:autoSpaceDE w:val="0"/>
        <w:autoSpaceDN w:val="0"/>
        <w:adjustRightInd w:val="0"/>
        <w:rPr>
          <w:rFonts w:cs="Helvetica"/>
          <w:b/>
          <w:i/>
          <w:sz w:val="20"/>
        </w:rPr>
      </w:pPr>
      <w:r w:rsidRPr="0022572A">
        <w:rPr>
          <w:rFonts w:cs="Helvetica"/>
          <w:b/>
          <w:i/>
          <w:sz w:val="20"/>
        </w:rPr>
        <w:t>Focus Area 3. Prioritize infrastructure investments to ensure pedestrian safety</w:t>
      </w:r>
    </w:p>
    <w:p w:rsidR="00EB43B7" w:rsidRDefault="00EB43B7" w:rsidP="0022572A">
      <w:pPr>
        <w:widowControl w:val="0"/>
        <w:autoSpaceDE w:val="0"/>
        <w:autoSpaceDN w:val="0"/>
        <w:adjustRightInd w:val="0"/>
        <w:rPr>
          <w:i/>
          <w:sz w:val="20"/>
        </w:rPr>
      </w:pPr>
      <w:r w:rsidRPr="00EB43B7">
        <w:rPr>
          <w:i/>
          <w:sz w:val="20"/>
        </w:rPr>
        <w:t xml:space="preserve">Lead: </w:t>
      </w:r>
      <w:r>
        <w:rPr>
          <w:i/>
          <w:sz w:val="20"/>
        </w:rPr>
        <w:t xml:space="preserve">Mike </w:t>
      </w:r>
      <w:proofErr w:type="spellStart"/>
      <w:r>
        <w:rPr>
          <w:i/>
          <w:sz w:val="20"/>
        </w:rPr>
        <w:t>Dornfeld</w:t>
      </w:r>
      <w:proofErr w:type="spellEnd"/>
      <w:r>
        <w:rPr>
          <w:i/>
          <w:sz w:val="20"/>
        </w:rPr>
        <w:t xml:space="preserve">/John </w:t>
      </w:r>
      <w:proofErr w:type="spellStart"/>
      <w:r>
        <w:rPr>
          <w:i/>
          <w:sz w:val="20"/>
        </w:rPr>
        <w:t>Nisbett</w:t>
      </w:r>
      <w:proofErr w:type="spellEnd"/>
      <w:r>
        <w:rPr>
          <w:i/>
          <w:sz w:val="20"/>
        </w:rPr>
        <w:t>, WSDOT – wording is in development</w:t>
      </w:r>
    </w:p>
    <w:p w:rsidR="0022572A" w:rsidRPr="0022572A" w:rsidRDefault="0022572A" w:rsidP="0022572A">
      <w:pPr>
        <w:widowControl w:val="0"/>
        <w:autoSpaceDE w:val="0"/>
        <w:autoSpaceDN w:val="0"/>
        <w:adjustRightInd w:val="0"/>
        <w:rPr>
          <w:rFonts w:cs="Helvetica"/>
          <w:b/>
          <w:i/>
          <w:sz w:val="20"/>
        </w:rPr>
      </w:pPr>
    </w:p>
    <w:p w:rsidR="0022572A" w:rsidRPr="0022572A" w:rsidRDefault="0022572A" w:rsidP="0022572A">
      <w:pPr>
        <w:widowControl w:val="0"/>
        <w:autoSpaceDE w:val="0"/>
        <w:autoSpaceDN w:val="0"/>
        <w:adjustRightInd w:val="0"/>
        <w:ind w:left="720"/>
        <w:rPr>
          <w:rFonts w:cs="Helvetica"/>
          <w:i/>
          <w:sz w:val="20"/>
        </w:rPr>
      </w:pPr>
      <w:r w:rsidRPr="0022572A">
        <w:rPr>
          <w:rFonts w:cs="Helvetica"/>
          <w:i/>
          <w:sz w:val="20"/>
        </w:rPr>
        <w:t xml:space="preserve">3.1. Identify key pedestrian crossing locations and install safety devices, such as rapid flash signals, to make crossing easier and safer. </w:t>
      </w:r>
    </w:p>
    <w:p w:rsidR="00EB43B7" w:rsidRDefault="00EB43B7" w:rsidP="0022572A">
      <w:pPr>
        <w:rPr>
          <w:b/>
          <w:i/>
          <w:sz w:val="20"/>
        </w:rPr>
      </w:pPr>
    </w:p>
    <w:p w:rsidR="00EB43B7" w:rsidRDefault="00EB43B7" w:rsidP="00EB43B7">
      <w:pPr>
        <w:ind w:left="720"/>
        <w:rPr>
          <w:i/>
          <w:sz w:val="20"/>
        </w:rPr>
      </w:pPr>
      <w:r>
        <w:rPr>
          <w:i/>
          <w:sz w:val="20"/>
        </w:rPr>
        <w:t>3.2. Design roads to reduce speed.</w:t>
      </w:r>
    </w:p>
    <w:p w:rsidR="0022572A" w:rsidRPr="00EB43B7" w:rsidRDefault="0022572A" w:rsidP="00EB43B7">
      <w:pPr>
        <w:ind w:left="720"/>
        <w:rPr>
          <w:i/>
          <w:sz w:val="20"/>
        </w:rPr>
      </w:pPr>
    </w:p>
    <w:p w:rsidR="0022572A" w:rsidRPr="0022572A" w:rsidRDefault="0022572A" w:rsidP="0022572A">
      <w:pPr>
        <w:rPr>
          <w:sz w:val="20"/>
        </w:rPr>
      </w:pPr>
    </w:p>
    <w:p w:rsidR="0022572A" w:rsidRPr="0022572A" w:rsidRDefault="0022572A" w:rsidP="0022572A">
      <w:pPr>
        <w:rPr>
          <w:b/>
          <w:i/>
          <w:sz w:val="20"/>
        </w:rPr>
      </w:pPr>
      <w:r w:rsidRPr="0022572A">
        <w:rPr>
          <w:b/>
          <w:i/>
          <w:sz w:val="20"/>
        </w:rPr>
        <w:t>Focus Area 4. Improve pedestrian data</w:t>
      </w:r>
    </w:p>
    <w:p w:rsidR="00EB43B7" w:rsidRPr="0022572A" w:rsidRDefault="00EB43B7" w:rsidP="00EB43B7">
      <w:pPr>
        <w:rPr>
          <w:i/>
          <w:sz w:val="20"/>
        </w:rPr>
      </w:pPr>
      <w:r>
        <w:rPr>
          <w:i/>
          <w:sz w:val="20"/>
        </w:rPr>
        <w:t>Lead: Staci Hoff, WTSC</w:t>
      </w:r>
    </w:p>
    <w:p w:rsidR="0022572A" w:rsidRPr="0022572A" w:rsidRDefault="0022572A" w:rsidP="0022572A">
      <w:pPr>
        <w:rPr>
          <w:b/>
          <w:i/>
          <w:sz w:val="20"/>
        </w:rPr>
      </w:pPr>
    </w:p>
    <w:p w:rsidR="00EB43B7" w:rsidRDefault="0022572A" w:rsidP="0022572A">
      <w:pPr>
        <w:ind w:left="720"/>
        <w:rPr>
          <w:i/>
          <w:sz w:val="20"/>
        </w:rPr>
      </w:pPr>
      <w:r w:rsidRPr="0022572A">
        <w:rPr>
          <w:i/>
          <w:sz w:val="20"/>
        </w:rPr>
        <w:t xml:space="preserve">4.1. Increase the availability of useful and effective pedestrian data. </w:t>
      </w:r>
      <w:r w:rsidR="00EB43B7">
        <w:rPr>
          <w:i/>
          <w:sz w:val="20"/>
        </w:rPr>
        <w:t>(Draft wording)</w:t>
      </w:r>
    </w:p>
    <w:p w:rsidR="0022572A" w:rsidRPr="0022572A" w:rsidRDefault="0022572A" w:rsidP="0022572A">
      <w:pPr>
        <w:rPr>
          <w:i/>
          <w:sz w:val="20"/>
        </w:rPr>
      </w:pPr>
    </w:p>
    <w:p w:rsidR="00EB43B7" w:rsidRDefault="00EB43B7" w:rsidP="00EB43B7">
      <w:pPr>
        <w:rPr>
          <w:b/>
          <w:i/>
          <w:sz w:val="20"/>
        </w:rPr>
      </w:pPr>
    </w:p>
    <w:p w:rsidR="0022572A" w:rsidRPr="00EB43B7" w:rsidRDefault="0022572A" w:rsidP="00EB43B7">
      <w:pPr>
        <w:rPr>
          <w:i/>
          <w:sz w:val="20"/>
        </w:rPr>
      </w:pPr>
      <w:r w:rsidRPr="0022572A">
        <w:rPr>
          <w:b/>
          <w:i/>
          <w:sz w:val="20"/>
        </w:rPr>
        <w:t>Focus Area 5. Invest in the development and implementation of pedestrian safety plans</w:t>
      </w:r>
      <w:r w:rsidR="00EB43B7" w:rsidRPr="0022572A">
        <w:rPr>
          <w:i/>
          <w:sz w:val="20"/>
        </w:rPr>
        <w:t>.</w:t>
      </w:r>
      <w:r w:rsidR="00EB43B7">
        <w:rPr>
          <w:i/>
          <w:sz w:val="20"/>
        </w:rPr>
        <w:t xml:space="preserve"> </w:t>
      </w:r>
    </w:p>
    <w:p w:rsidR="00EB43B7" w:rsidRPr="00EB43B7" w:rsidRDefault="00EB43B7" w:rsidP="00EB43B7">
      <w:pPr>
        <w:rPr>
          <w:i/>
          <w:sz w:val="20"/>
        </w:rPr>
      </w:pPr>
      <w:r w:rsidRPr="00EB43B7">
        <w:rPr>
          <w:i/>
          <w:sz w:val="20"/>
        </w:rPr>
        <w:t xml:space="preserve">Lead: </w:t>
      </w:r>
      <w:r>
        <w:rPr>
          <w:i/>
          <w:sz w:val="20"/>
        </w:rPr>
        <w:t xml:space="preserve">Mike </w:t>
      </w:r>
      <w:proofErr w:type="spellStart"/>
      <w:r>
        <w:rPr>
          <w:i/>
          <w:sz w:val="20"/>
        </w:rPr>
        <w:t>Dornfeld</w:t>
      </w:r>
      <w:proofErr w:type="spellEnd"/>
      <w:r>
        <w:rPr>
          <w:i/>
          <w:sz w:val="20"/>
        </w:rPr>
        <w:t xml:space="preserve">, WSDOT </w:t>
      </w:r>
    </w:p>
    <w:p w:rsidR="0022572A" w:rsidRPr="0022572A" w:rsidRDefault="0022572A" w:rsidP="0022572A">
      <w:pPr>
        <w:rPr>
          <w:b/>
          <w:i/>
          <w:sz w:val="20"/>
        </w:rPr>
      </w:pPr>
    </w:p>
    <w:p w:rsidR="00EB43B7" w:rsidRDefault="0022572A" w:rsidP="0022572A">
      <w:pPr>
        <w:ind w:left="720"/>
        <w:rPr>
          <w:i/>
          <w:sz w:val="20"/>
        </w:rPr>
      </w:pPr>
      <w:r w:rsidRPr="0022572A">
        <w:rPr>
          <w:i/>
          <w:sz w:val="20"/>
        </w:rPr>
        <w:t>5.1. Identify actionable roadway design applications to calm traffic in pedestrian-heavy locations and prevent pedestrian/vehicle crashes.</w:t>
      </w:r>
      <w:r w:rsidR="00EB43B7">
        <w:rPr>
          <w:i/>
          <w:sz w:val="20"/>
        </w:rPr>
        <w:t xml:space="preserve"> (Draft wording)</w:t>
      </w:r>
    </w:p>
    <w:p w:rsidR="0022572A" w:rsidRPr="0022572A" w:rsidRDefault="0022572A" w:rsidP="0022572A">
      <w:pPr>
        <w:ind w:left="720"/>
        <w:rPr>
          <w:i/>
          <w:sz w:val="20"/>
        </w:rPr>
      </w:pPr>
    </w:p>
    <w:p w:rsidR="0022572A" w:rsidRPr="0022572A" w:rsidRDefault="0022572A" w:rsidP="00EB43B7">
      <w:pPr>
        <w:ind w:left="720"/>
        <w:rPr>
          <w:b/>
          <w:i/>
          <w:sz w:val="20"/>
        </w:rPr>
      </w:pPr>
    </w:p>
    <w:p w:rsidR="0022572A" w:rsidRPr="0022572A" w:rsidRDefault="0022572A" w:rsidP="0022572A">
      <w:pPr>
        <w:rPr>
          <w:sz w:val="20"/>
        </w:rPr>
      </w:pPr>
    </w:p>
    <w:p w:rsidR="007E5345" w:rsidRDefault="007E5345" w:rsidP="0022572A">
      <w:pPr>
        <w:spacing w:after="120"/>
        <w:rPr>
          <w:b/>
        </w:rPr>
        <w:sectPr w:rsidR="007E5345"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cols w:space="720"/>
        </w:sectPr>
      </w:pPr>
    </w:p>
    <w:p w:rsidR="007E5345" w:rsidRPr="0022572A" w:rsidRDefault="0022572A" w:rsidP="0022572A">
      <w:pPr>
        <w:spacing w:after="120"/>
        <w:jc w:val="center"/>
        <w:rPr>
          <w:b/>
        </w:rPr>
      </w:pPr>
      <w:r w:rsidRPr="00D51704">
        <w:rPr>
          <w:b/>
        </w:rPr>
        <w:lastRenderedPageBreak/>
        <w:t>2017 Work Plan and Timeline</w:t>
      </w:r>
    </w:p>
    <w:p w:rsidR="007E5345" w:rsidRDefault="007E5345" w:rsidP="007E5345"/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AF" w:firstRow="1" w:lastRow="0" w:firstColumn="1" w:lastColumn="0" w:noHBand="0" w:noVBand="0"/>
      </w:tblPr>
      <w:tblGrid>
        <w:gridCol w:w="7308"/>
        <w:gridCol w:w="7308"/>
      </w:tblGrid>
      <w:tr w:rsidR="007E5345" w:rsidRPr="0078666C" w:rsidTr="0078666C">
        <w:tc>
          <w:tcPr>
            <w:tcW w:w="5000" w:type="pct"/>
            <w:gridSpan w:val="2"/>
            <w:shd w:val="pct20" w:color="000000" w:fill="FFFFFF"/>
          </w:tcPr>
          <w:p w:rsidR="007E5345" w:rsidRPr="0078666C" w:rsidRDefault="007E5345" w:rsidP="007E5345">
            <w:pPr>
              <w:spacing w:after="120"/>
              <w:jc w:val="center"/>
              <w:rPr>
                <w:b/>
                <w:sz w:val="20"/>
              </w:rPr>
            </w:pPr>
            <w:r w:rsidRPr="0078666C">
              <w:rPr>
                <w:b/>
                <w:sz w:val="20"/>
              </w:rPr>
              <w:t>First Quarter</w:t>
            </w:r>
          </w:p>
        </w:tc>
      </w:tr>
      <w:tr w:rsidR="007E5345" w:rsidRPr="0078666C" w:rsidTr="0078666C">
        <w:tc>
          <w:tcPr>
            <w:tcW w:w="2500" w:type="pct"/>
            <w:shd w:val="pct5" w:color="000000" w:fill="FFFFFF"/>
          </w:tcPr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b/>
                <w:sz w:val="20"/>
              </w:rPr>
              <w:t>January</w:t>
            </w:r>
            <w:r w:rsidRPr="0078666C">
              <w:rPr>
                <w:sz w:val="20"/>
              </w:rPr>
              <w:t>: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Focus Area 4. Improve pedestrian data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 xml:space="preserve">Lead: Staci with </w:t>
            </w:r>
            <w:r w:rsidR="00EB43B7" w:rsidRPr="0078666C">
              <w:rPr>
                <w:sz w:val="20"/>
              </w:rPr>
              <w:t>DOH (Will Hitchcock, Aimee D’Avignon)</w:t>
            </w:r>
            <w:r w:rsidRPr="0078666C">
              <w:rPr>
                <w:sz w:val="20"/>
              </w:rPr>
              <w:t>, Marc</w:t>
            </w:r>
            <w:r w:rsidR="00EB43B7" w:rsidRPr="0078666C">
              <w:rPr>
                <w:sz w:val="20"/>
              </w:rPr>
              <w:t xml:space="preserve"> Anderson</w:t>
            </w:r>
            <w:r w:rsidRPr="0078666C">
              <w:rPr>
                <w:sz w:val="20"/>
              </w:rPr>
              <w:t>, Christine</w:t>
            </w:r>
            <w:r w:rsidR="00EB43B7" w:rsidRPr="0078666C">
              <w:rPr>
                <w:sz w:val="20"/>
              </w:rPr>
              <w:t xml:space="preserve"> Myers</w:t>
            </w:r>
            <w:r w:rsidRPr="0078666C">
              <w:rPr>
                <w:sz w:val="20"/>
              </w:rPr>
              <w:t>, Ida</w:t>
            </w:r>
            <w:r w:rsidR="00EB43B7" w:rsidRPr="0078666C">
              <w:rPr>
                <w:sz w:val="20"/>
              </w:rPr>
              <w:t xml:space="preserve"> Van </w:t>
            </w:r>
            <w:proofErr w:type="spellStart"/>
            <w:r w:rsidR="00EB43B7" w:rsidRPr="0078666C">
              <w:rPr>
                <w:sz w:val="20"/>
              </w:rPr>
              <w:t>Schalkwyk</w:t>
            </w:r>
            <w:proofErr w:type="spellEnd"/>
            <w:r w:rsidRPr="0078666C">
              <w:rPr>
                <w:sz w:val="20"/>
              </w:rPr>
              <w:t>, WSP</w:t>
            </w:r>
            <w:r w:rsidR="00EB43B7" w:rsidRPr="0078666C">
              <w:rPr>
                <w:sz w:val="20"/>
              </w:rPr>
              <w:t xml:space="preserve"> representative</w:t>
            </w:r>
            <w:r w:rsidRPr="0078666C">
              <w:rPr>
                <w:sz w:val="20"/>
              </w:rPr>
              <w:t xml:space="preserve">, David </w:t>
            </w:r>
            <w:r w:rsidR="00EB43B7" w:rsidRPr="0078666C">
              <w:rPr>
                <w:sz w:val="20"/>
              </w:rPr>
              <w:t>Delgado</w:t>
            </w:r>
          </w:p>
        </w:tc>
        <w:tc>
          <w:tcPr>
            <w:tcW w:w="2500" w:type="pct"/>
            <w:shd w:val="pct5" w:color="000000" w:fill="FFFFFF"/>
          </w:tcPr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4.2. Identify over-represented user groups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4.4. Assess pedestrian data systems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4.5. Explore exposure data</w:t>
            </w:r>
          </w:p>
        </w:tc>
      </w:tr>
      <w:tr w:rsidR="007E5345" w:rsidRPr="0078666C" w:rsidTr="0078666C">
        <w:tc>
          <w:tcPr>
            <w:tcW w:w="2500" w:type="pct"/>
            <w:shd w:val="pct20" w:color="000000" w:fill="FFFFFF"/>
          </w:tcPr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b/>
                <w:sz w:val="20"/>
              </w:rPr>
              <w:t>February</w:t>
            </w:r>
            <w:r w:rsidRPr="0078666C">
              <w:rPr>
                <w:sz w:val="20"/>
              </w:rPr>
              <w:t xml:space="preserve">: 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Focus Area 4. Improve pedestrian data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Lead: Staci with DOH</w:t>
            </w:r>
            <w:r w:rsidR="00EB43B7" w:rsidRPr="0078666C">
              <w:rPr>
                <w:sz w:val="20"/>
              </w:rPr>
              <w:t xml:space="preserve"> (Will Hitchcock, Aimee D’Avignon)</w:t>
            </w:r>
            <w:r w:rsidRPr="0078666C">
              <w:rPr>
                <w:sz w:val="20"/>
              </w:rPr>
              <w:t>, Marc</w:t>
            </w:r>
            <w:r w:rsidR="00EB43B7" w:rsidRPr="0078666C">
              <w:rPr>
                <w:sz w:val="20"/>
              </w:rPr>
              <w:t xml:space="preserve"> Anderson</w:t>
            </w:r>
            <w:r w:rsidRPr="0078666C">
              <w:rPr>
                <w:sz w:val="20"/>
              </w:rPr>
              <w:t>, Christine</w:t>
            </w:r>
            <w:r w:rsidR="00EB43B7" w:rsidRPr="0078666C">
              <w:rPr>
                <w:sz w:val="20"/>
              </w:rPr>
              <w:t xml:space="preserve"> Myers</w:t>
            </w:r>
            <w:r w:rsidRPr="0078666C">
              <w:rPr>
                <w:sz w:val="20"/>
              </w:rPr>
              <w:t>, Ida, WSP</w:t>
            </w:r>
            <w:r w:rsidR="00EB43B7" w:rsidRPr="0078666C">
              <w:rPr>
                <w:sz w:val="20"/>
              </w:rPr>
              <w:t xml:space="preserve"> representative</w:t>
            </w:r>
            <w:r w:rsidRPr="0078666C">
              <w:rPr>
                <w:sz w:val="20"/>
              </w:rPr>
              <w:t xml:space="preserve">, David </w:t>
            </w:r>
            <w:r w:rsidR="00EB43B7" w:rsidRPr="0078666C">
              <w:rPr>
                <w:sz w:val="20"/>
              </w:rPr>
              <w:t>Delgado</w:t>
            </w:r>
          </w:p>
        </w:tc>
        <w:tc>
          <w:tcPr>
            <w:tcW w:w="2500" w:type="pct"/>
            <w:shd w:val="pct20" w:color="000000" w:fill="FFFFFF"/>
          </w:tcPr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4.6. Propose strategies to address the factors that lead to some groups being over-represented in pedestrian/vehicle collisions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4.7. Propose changes to assure comprehensive, quality, shared, actionable data.</w:t>
            </w:r>
          </w:p>
        </w:tc>
      </w:tr>
      <w:tr w:rsidR="007E5345" w:rsidRPr="0078666C" w:rsidTr="0078666C">
        <w:tc>
          <w:tcPr>
            <w:tcW w:w="2500" w:type="pct"/>
            <w:shd w:val="pct5" w:color="000000" w:fill="FFFFFF"/>
          </w:tcPr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b/>
                <w:sz w:val="20"/>
              </w:rPr>
              <w:t>March</w:t>
            </w:r>
            <w:r w:rsidRPr="0078666C">
              <w:rPr>
                <w:sz w:val="20"/>
              </w:rPr>
              <w:t xml:space="preserve">: 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Focus: Expand the use and enforcement of photo speed/red light cameras as a means to prevent pedestrian crashes. Goal is to reframe the use of cameras away from being a revenue source for cities and to a dedicated source for safety measures.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 xml:space="preserve">Lead: </w:t>
            </w:r>
            <w:proofErr w:type="spellStart"/>
            <w:r w:rsidRPr="0078666C">
              <w:rPr>
                <w:sz w:val="20"/>
              </w:rPr>
              <w:t>Dongho</w:t>
            </w:r>
            <w:proofErr w:type="spellEnd"/>
            <w:r w:rsidR="00EB43B7" w:rsidRPr="0078666C">
              <w:rPr>
                <w:sz w:val="20"/>
              </w:rPr>
              <w:t xml:space="preserve"> Chang</w:t>
            </w:r>
            <w:r w:rsidRPr="0078666C">
              <w:rPr>
                <w:sz w:val="20"/>
              </w:rPr>
              <w:t xml:space="preserve"> with Lisa Quinn, Karen</w:t>
            </w:r>
            <w:r w:rsidR="00EB43B7" w:rsidRPr="0078666C">
              <w:rPr>
                <w:sz w:val="20"/>
              </w:rPr>
              <w:t xml:space="preserve"> Wigen</w:t>
            </w:r>
            <w:r w:rsidRPr="0078666C">
              <w:rPr>
                <w:sz w:val="20"/>
              </w:rPr>
              <w:t>, Will, WSP</w:t>
            </w:r>
            <w:r w:rsidR="00EB43B7" w:rsidRPr="0078666C">
              <w:rPr>
                <w:sz w:val="20"/>
              </w:rPr>
              <w:t xml:space="preserve"> representative</w:t>
            </w:r>
          </w:p>
        </w:tc>
        <w:tc>
          <w:tcPr>
            <w:tcW w:w="2500" w:type="pct"/>
            <w:shd w:val="pct5" w:color="000000" w:fill="FFFFFF"/>
          </w:tcPr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 xml:space="preserve">1.2. Expand photo speed/red light enforcement within and beyond school zones 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 xml:space="preserve">6.1. Photo red/school zone speed enforcement with funding dedicated to safety </w:t>
            </w:r>
          </w:p>
          <w:p w:rsidR="007E5345" w:rsidRPr="0078666C" w:rsidRDefault="007E5345">
            <w:pPr>
              <w:rPr>
                <w:sz w:val="20"/>
              </w:rPr>
            </w:pPr>
          </w:p>
        </w:tc>
      </w:tr>
      <w:tr w:rsidR="007E5345" w:rsidRPr="0078666C" w:rsidTr="0078666C">
        <w:tc>
          <w:tcPr>
            <w:tcW w:w="5000" w:type="pct"/>
            <w:gridSpan w:val="2"/>
            <w:shd w:val="pct20" w:color="000000" w:fill="FFFFFF"/>
          </w:tcPr>
          <w:p w:rsidR="007E5345" w:rsidRPr="0078666C" w:rsidRDefault="00EB43B7" w:rsidP="007E5345">
            <w:pPr>
              <w:jc w:val="center"/>
              <w:rPr>
                <w:b/>
                <w:sz w:val="20"/>
              </w:rPr>
            </w:pPr>
            <w:r w:rsidRPr="0078666C">
              <w:rPr>
                <w:b/>
                <w:sz w:val="20"/>
              </w:rPr>
              <w:t xml:space="preserve">First Quarter – </w:t>
            </w:r>
            <w:r w:rsidR="007E5345" w:rsidRPr="0078666C">
              <w:rPr>
                <w:b/>
                <w:sz w:val="20"/>
              </w:rPr>
              <w:t>Dates TBD</w:t>
            </w:r>
          </w:p>
        </w:tc>
      </w:tr>
      <w:tr w:rsidR="007E5345" w:rsidRPr="0078666C" w:rsidTr="0078666C">
        <w:tc>
          <w:tcPr>
            <w:tcW w:w="2500" w:type="pct"/>
            <w:shd w:val="pct5" w:color="000000" w:fill="FFFFFF"/>
          </w:tcPr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Focus Area 1. Explore laws, rules, and ordinances that support pedestrian safety</w:t>
            </w:r>
          </w:p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Lead: Ida</w:t>
            </w:r>
            <w:r w:rsidR="00EB43B7" w:rsidRPr="0078666C">
              <w:rPr>
                <w:sz w:val="20"/>
              </w:rPr>
              <w:t xml:space="preserve"> Van </w:t>
            </w:r>
            <w:proofErr w:type="spellStart"/>
            <w:r w:rsidR="00EB43B7" w:rsidRPr="0078666C">
              <w:rPr>
                <w:sz w:val="20"/>
              </w:rPr>
              <w:t>Schalkwyk</w:t>
            </w:r>
            <w:proofErr w:type="spellEnd"/>
            <w:r w:rsidRPr="0078666C">
              <w:rPr>
                <w:sz w:val="20"/>
              </w:rPr>
              <w:t xml:space="preserve"> with </w:t>
            </w:r>
            <w:proofErr w:type="spellStart"/>
            <w:r w:rsidRPr="0078666C">
              <w:rPr>
                <w:sz w:val="20"/>
              </w:rPr>
              <w:t>Dongho</w:t>
            </w:r>
            <w:proofErr w:type="spellEnd"/>
            <w:r w:rsidRPr="0078666C">
              <w:rPr>
                <w:sz w:val="20"/>
              </w:rPr>
              <w:t xml:space="preserve"> </w:t>
            </w:r>
            <w:r w:rsidR="00EB43B7" w:rsidRPr="0078666C">
              <w:rPr>
                <w:sz w:val="20"/>
              </w:rPr>
              <w:t>Chang</w:t>
            </w:r>
          </w:p>
        </w:tc>
        <w:tc>
          <w:tcPr>
            <w:tcW w:w="2500" w:type="pct"/>
            <w:shd w:val="pct5" w:color="000000" w:fill="FFFFFF"/>
          </w:tcPr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1.3. Provide legal protection for city and county pedestrian safety plans</w:t>
            </w:r>
          </w:p>
        </w:tc>
      </w:tr>
      <w:tr w:rsidR="007E5345" w:rsidRPr="0078666C" w:rsidTr="0078666C">
        <w:tc>
          <w:tcPr>
            <w:tcW w:w="2500" w:type="pct"/>
            <w:shd w:val="pct20" w:color="000000" w:fill="FFFFFF"/>
          </w:tcPr>
          <w:p w:rsidR="007E5345" w:rsidRPr="0078666C" w:rsidRDefault="007E5345" w:rsidP="007E5345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Focus Area 7: Include diverse stakeholders</w:t>
            </w:r>
          </w:p>
          <w:p w:rsidR="007E5345" w:rsidRPr="0078666C" w:rsidRDefault="007E5345" w:rsidP="00EB43B7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Co-Leads: Christine</w:t>
            </w:r>
            <w:r w:rsidR="00EB43B7" w:rsidRPr="0078666C">
              <w:rPr>
                <w:sz w:val="20"/>
              </w:rPr>
              <w:t xml:space="preserve"> Myers and </w:t>
            </w:r>
            <w:r w:rsidRPr="0078666C">
              <w:rPr>
                <w:sz w:val="20"/>
              </w:rPr>
              <w:t>Larry Watkinson</w:t>
            </w:r>
            <w:r w:rsidR="00EB43B7" w:rsidRPr="0078666C">
              <w:rPr>
                <w:sz w:val="20"/>
              </w:rPr>
              <w:t xml:space="preserve"> (WSDOT)</w:t>
            </w:r>
            <w:r w:rsidRPr="0078666C">
              <w:rPr>
                <w:sz w:val="20"/>
              </w:rPr>
              <w:t>, and Lisa Quinn</w:t>
            </w:r>
            <w:r w:rsidR="00EB43B7" w:rsidRPr="0078666C">
              <w:rPr>
                <w:sz w:val="20"/>
              </w:rPr>
              <w:t>,</w:t>
            </w:r>
            <w:r w:rsidRPr="0078666C">
              <w:rPr>
                <w:sz w:val="20"/>
              </w:rPr>
              <w:t xml:space="preserve"> Ida</w:t>
            </w:r>
            <w:r w:rsidR="00EB43B7" w:rsidRPr="0078666C">
              <w:rPr>
                <w:sz w:val="20"/>
              </w:rPr>
              <w:t xml:space="preserve"> Van </w:t>
            </w:r>
            <w:proofErr w:type="spellStart"/>
            <w:r w:rsidR="00EB43B7" w:rsidRPr="0078666C">
              <w:rPr>
                <w:sz w:val="20"/>
              </w:rPr>
              <w:t>Schalkwyk</w:t>
            </w:r>
            <w:proofErr w:type="spellEnd"/>
            <w:r w:rsidRPr="0078666C">
              <w:rPr>
                <w:sz w:val="20"/>
              </w:rPr>
              <w:t>, DOH</w:t>
            </w:r>
            <w:r w:rsidR="00EB43B7" w:rsidRPr="0078666C">
              <w:rPr>
                <w:sz w:val="20"/>
              </w:rPr>
              <w:t xml:space="preserve"> (Will Hitchcock, Aimee D’Avignon)</w:t>
            </w:r>
          </w:p>
        </w:tc>
        <w:tc>
          <w:tcPr>
            <w:tcW w:w="2500" w:type="pct"/>
            <w:shd w:val="pct20" w:color="000000" w:fill="FFFFFF"/>
          </w:tcPr>
          <w:p w:rsidR="007E5345" w:rsidRPr="0078666C" w:rsidRDefault="00EB43B7">
            <w:pPr>
              <w:rPr>
                <w:sz w:val="20"/>
              </w:rPr>
            </w:pPr>
            <w:r w:rsidRPr="0078666C">
              <w:rPr>
                <w:sz w:val="20"/>
              </w:rPr>
              <w:t>7.1. Develop an inclusion strategy so that we are hearing from groups about issues unique to tribes, people of color, non-English speaking people, children, elders, people with disabilities</w:t>
            </w:r>
          </w:p>
        </w:tc>
      </w:tr>
    </w:tbl>
    <w:p w:rsidR="007E5345" w:rsidRDefault="007E5345" w:rsidP="007E5345">
      <w:pPr>
        <w:rPr>
          <w:sz w:val="20"/>
        </w:rPr>
      </w:pPr>
    </w:p>
    <w:p w:rsidR="007E5345" w:rsidRPr="00BE46C3" w:rsidRDefault="007E5345" w:rsidP="007E5345">
      <w:pPr>
        <w:rPr>
          <w:sz w:val="20"/>
        </w:rPr>
      </w:pPr>
      <w:r>
        <w:rPr>
          <w:sz w:val="20"/>
        </w:rPr>
        <w:br w:type="page"/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AF" w:firstRow="1" w:lastRow="0" w:firstColumn="1" w:lastColumn="0" w:noHBand="0" w:noVBand="0"/>
      </w:tblPr>
      <w:tblGrid>
        <w:gridCol w:w="6588"/>
        <w:gridCol w:w="6588"/>
      </w:tblGrid>
      <w:tr w:rsidR="007E5345" w:rsidRPr="0078666C" w:rsidTr="0078666C">
        <w:tc>
          <w:tcPr>
            <w:tcW w:w="13176" w:type="dxa"/>
            <w:gridSpan w:val="2"/>
            <w:shd w:val="pct20" w:color="000000" w:fill="FFFFFF"/>
          </w:tcPr>
          <w:p w:rsidR="007E5345" w:rsidRPr="0078666C" w:rsidRDefault="007E5345" w:rsidP="007E5345">
            <w:pPr>
              <w:spacing w:after="120"/>
              <w:jc w:val="center"/>
              <w:rPr>
                <w:b/>
                <w:sz w:val="20"/>
              </w:rPr>
            </w:pPr>
            <w:r w:rsidRPr="0078666C">
              <w:rPr>
                <w:b/>
                <w:sz w:val="20"/>
              </w:rPr>
              <w:t>Second Quarter – Dates TBD</w:t>
            </w:r>
          </w:p>
        </w:tc>
      </w:tr>
      <w:tr w:rsidR="007E5345" w:rsidRPr="0078666C" w:rsidTr="0078666C">
        <w:tc>
          <w:tcPr>
            <w:tcW w:w="6588" w:type="dxa"/>
            <w:shd w:val="pct5" w:color="000000" w:fill="FFFFFF"/>
          </w:tcPr>
          <w:p w:rsidR="007E5345" w:rsidRPr="0078666C" w:rsidRDefault="007E5345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Focus Area 2. Promote positive pedestrian culture</w:t>
            </w:r>
          </w:p>
          <w:p w:rsidR="007E5345" w:rsidRPr="0078666C" w:rsidRDefault="007E5345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Lead: WTSC</w:t>
            </w:r>
            <w:r w:rsidR="00EB43B7" w:rsidRPr="0078666C">
              <w:rPr>
                <w:sz w:val="20"/>
              </w:rPr>
              <w:t xml:space="preserve"> (Shelly Baldwin)</w:t>
            </w:r>
          </w:p>
        </w:tc>
        <w:tc>
          <w:tcPr>
            <w:tcW w:w="6588" w:type="dxa"/>
            <w:shd w:val="pct5" w:color="000000" w:fill="FFFFFF"/>
          </w:tcPr>
          <w:p w:rsidR="007E5345" w:rsidRPr="0078666C" w:rsidRDefault="007E5345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2.1. Establish funding for public education to increase pedestrian and driver awareness of risk and defensive behaviors</w:t>
            </w:r>
          </w:p>
        </w:tc>
      </w:tr>
      <w:tr w:rsidR="007E5345" w:rsidRPr="0078666C" w:rsidTr="0078666C">
        <w:tc>
          <w:tcPr>
            <w:tcW w:w="6588" w:type="dxa"/>
            <w:shd w:val="pct20" w:color="000000" w:fill="FFFFFF"/>
          </w:tcPr>
          <w:p w:rsidR="007E5345" w:rsidRPr="0078666C" w:rsidRDefault="007E5345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Follow up on First Quarter Initiatives</w:t>
            </w:r>
          </w:p>
        </w:tc>
        <w:tc>
          <w:tcPr>
            <w:tcW w:w="6588" w:type="dxa"/>
            <w:shd w:val="pct20" w:color="000000" w:fill="FFFFFF"/>
          </w:tcPr>
          <w:p w:rsidR="007E5345" w:rsidRPr="0078666C" w:rsidRDefault="007E5345" w:rsidP="0022572A">
            <w:pPr>
              <w:spacing w:after="120"/>
              <w:rPr>
                <w:sz w:val="20"/>
              </w:rPr>
            </w:pPr>
          </w:p>
        </w:tc>
      </w:tr>
    </w:tbl>
    <w:p w:rsidR="007E5345" w:rsidRPr="00BE46C3" w:rsidRDefault="007E5345" w:rsidP="0022572A">
      <w:pPr>
        <w:spacing w:after="120"/>
        <w:rPr>
          <w:sz w:val="20"/>
        </w:rPr>
      </w:pPr>
    </w:p>
    <w:p w:rsidR="007E5345" w:rsidRPr="00BE46C3" w:rsidRDefault="007E5345" w:rsidP="0022572A">
      <w:pPr>
        <w:spacing w:after="120"/>
        <w:rPr>
          <w:sz w:val="20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AF" w:firstRow="1" w:lastRow="0" w:firstColumn="1" w:lastColumn="0" w:noHBand="0" w:noVBand="0"/>
      </w:tblPr>
      <w:tblGrid>
        <w:gridCol w:w="6588"/>
        <w:gridCol w:w="6588"/>
      </w:tblGrid>
      <w:tr w:rsidR="007E5345" w:rsidRPr="0078666C" w:rsidTr="0078666C">
        <w:tc>
          <w:tcPr>
            <w:tcW w:w="13176" w:type="dxa"/>
            <w:gridSpan w:val="2"/>
            <w:shd w:val="pct20" w:color="000000" w:fill="FFFFFF"/>
          </w:tcPr>
          <w:p w:rsidR="007E5345" w:rsidRPr="0078666C" w:rsidRDefault="007E5345" w:rsidP="0022572A">
            <w:pPr>
              <w:spacing w:after="120"/>
              <w:jc w:val="center"/>
              <w:rPr>
                <w:b/>
                <w:sz w:val="20"/>
              </w:rPr>
            </w:pPr>
            <w:r w:rsidRPr="0078666C">
              <w:rPr>
                <w:b/>
                <w:sz w:val="20"/>
              </w:rPr>
              <w:t>Third Quarter – Dates TBD</w:t>
            </w:r>
          </w:p>
        </w:tc>
      </w:tr>
      <w:tr w:rsidR="007E5345" w:rsidRPr="0078666C" w:rsidTr="0078666C">
        <w:tc>
          <w:tcPr>
            <w:tcW w:w="6588" w:type="dxa"/>
            <w:shd w:val="pct5" w:color="000000" w:fill="FFFFFF"/>
          </w:tcPr>
          <w:p w:rsidR="007E5345" w:rsidRPr="0078666C" w:rsidRDefault="007E5345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Focus Area 3. Prioritize infrastructure investments to ensure pedestrian safety</w:t>
            </w:r>
          </w:p>
          <w:p w:rsidR="007E5345" w:rsidRPr="0078666C" w:rsidRDefault="007E5345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 xml:space="preserve">Lead: Charlotte </w:t>
            </w:r>
            <w:proofErr w:type="spellStart"/>
            <w:r w:rsidRPr="0078666C">
              <w:rPr>
                <w:sz w:val="20"/>
              </w:rPr>
              <w:t>Claybrooke</w:t>
            </w:r>
            <w:proofErr w:type="spellEnd"/>
            <w:r w:rsidRPr="0078666C">
              <w:rPr>
                <w:sz w:val="20"/>
              </w:rPr>
              <w:t xml:space="preserve"> with </w:t>
            </w:r>
            <w:proofErr w:type="spellStart"/>
            <w:r w:rsidRPr="0078666C">
              <w:rPr>
                <w:sz w:val="20"/>
              </w:rPr>
              <w:t>Dungho</w:t>
            </w:r>
            <w:proofErr w:type="spellEnd"/>
            <w:r w:rsidRPr="0078666C">
              <w:rPr>
                <w:sz w:val="20"/>
              </w:rPr>
              <w:t>, Josh</w:t>
            </w:r>
            <w:r w:rsidR="00EB43B7" w:rsidRPr="0078666C">
              <w:rPr>
                <w:sz w:val="20"/>
              </w:rPr>
              <w:t xml:space="preserve"> </w:t>
            </w:r>
            <w:proofErr w:type="spellStart"/>
            <w:r w:rsidR="00EB43B7" w:rsidRPr="0078666C">
              <w:rPr>
                <w:sz w:val="20"/>
              </w:rPr>
              <w:t>Diekmann</w:t>
            </w:r>
            <w:proofErr w:type="spellEnd"/>
          </w:p>
        </w:tc>
        <w:tc>
          <w:tcPr>
            <w:tcW w:w="6588" w:type="dxa"/>
            <w:shd w:val="pct5" w:color="000000" w:fill="FFFFFF"/>
          </w:tcPr>
          <w:p w:rsidR="007E5345" w:rsidRPr="0078666C" w:rsidRDefault="007E5345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3.3. Provide incentives for including pedestrian safety improvements in infrastructure funding criteria.</w:t>
            </w:r>
          </w:p>
        </w:tc>
      </w:tr>
      <w:tr w:rsidR="007E5345" w:rsidRPr="0078666C" w:rsidTr="0078666C">
        <w:tc>
          <w:tcPr>
            <w:tcW w:w="6588" w:type="dxa"/>
            <w:shd w:val="pct20" w:color="000000" w:fill="FFFFFF"/>
          </w:tcPr>
          <w:p w:rsidR="007E5345" w:rsidRPr="0078666C" w:rsidRDefault="007E5345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Focus Area 3. Prioritize infrastructure investments to ensure pedestrian safety</w:t>
            </w:r>
          </w:p>
          <w:p w:rsidR="007E5345" w:rsidRPr="0078666C" w:rsidRDefault="007E5345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Lead: Janet</w:t>
            </w:r>
            <w:r w:rsidR="00EB43B7" w:rsidRPr="0078666C">
              <w:rPr>
                <w:sz w:val="20"/>
              </w:rPr>
              <w:t xml:space="preserve"> Shull</w:t>
            </w:r>
            <w:r w:rsidRPr="0078666C">
              <w:rPr>
                <w:sz w:val="20"/>
              </w:rPr>
              <w:t xml:space="preserve"> with David</w:t>
            </w:r>
            <w:r w:rsidR="00EB43B7" w:rsidRPr="0078666C">
              <w:rPr>
                <w:sz w:val="20"/>
              </w:rPr>
              <w:t xml:space="preserve"> Delgado</w:t>
            </w:r>
            <w:r w:rsidRPr="0078666C">
              <w:rPr>
                <w:sz w:val="20"/>
              </w:rPr>
              <w:t xml:space="preserve">, Charlotte </w:t>
            </w:r>
            <w:proofErr w:type="spellStart"/>
            <w:r w:rsidRPr="0078666C">
              <w:rPr>
                <w:sz w:val="20"/>
              </w:rPr>
              <w:t>Claybrooke</w:t>
            </w:r>
            <w:proofErr w:type="spellEnd"/>
          </w:p>
        </w:tc>
        <w:tc>
          <w:tcPr>
            <w:tcW w:w="6588" w:type="dxa"/>
            <w:shd w:val="pct20" w:color="000000" w:fill="FFFFFF"/>
          </w:tcPr>
          <w:p w:rsidR="007E5345" w:rsidRPr="0078666C" w:rsidRDefault="007E5345" w:rsidP="00EB43B7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3.5. Explore land use policies that support pedestrian safety</w:t>
            </w:r>
          </w:p>
        </w:tc>
      </w:tr>
      <w:tr w:rsidR="007E5345" w:rsidRPr="0078666C" w:rsidTr="0078666C">
        <w:tc>
          <w:tcPr>
            <w:tcW w:w="6588" w:type="dxa"/>
            <w:shd w:val="pct5" w:color="000000" w:fill="FFFFFF"/>
          </w:tcPr>
          <w:p w:rsidR="007E5345" w:rsidRPr="0078666C" w:rsidRDefault="007E5345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Follow up on First and Second Quarter Initiatives</w:t>
            </w:r>
          </w:p>
        </w:tc>
        <w:tc>
          <w:tcPr>
            <w:tcW w:w="6588" w:type="dxa"/>
            <w:shd w:val="pct5" w:color="000000" w:fill="FFFFFF"/>
          </w:tcPr>
          <w:p w:rsidR="007E5345" w:rsidRPr="0078666C" w:rsidRDefault="007E5345" w:rsidP="0022572A">
            <w:pPr>
              <w:spacing w:after="120"/>
              <w:rPr>
                <w:sz w:val="20"/>
              </w:rPr>
            </w:pPr>
          </w:p>
        </w:tc>
      </w:tr>
    </w:tbl>
    <w:p w:rsidR="0078666C" w:rsidRDefault="0078666C" w:rsidP="0022572A">
      <w:pPr>
        <w:spacing w:after="120"/>
        <w:rPr>
          <w:sz w:val="20"/>
        </w:rPr>
      </w:pPr>
    </w:p>
    <w:p w:rsidR="007E5345" w:rsidRDefault="007E5345" w:rsidP="0022572A">
      <w:pPr>
        <w:spacing w:after="120"/>
        <w:rPr>
          <w:sz w:val="20"/>
        </w:rPr>
      </w:pP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AF" w:firstRow="1" w:lastRow="0" w:firstColumn="1" w:lastColumn="0" w:noHBand="0" w:noVBand="0"/>
      </w:tblPr>
      <w:tblGrid>
        <w:gridCol w:w="6588"/>
        <w:gridCol w:w="6588"/>
      </w:tblGrid>
      <w:tr w:rsidR="0078666C" w:rsidRPr="0078666C" w:rsidTr="0078666C">
        <w:tc>
          <w:tcPr>
            <w:tcW w:w="13176" w:type="dxa"/>
            <w:gridSpan w:val="2"/>
            <w:shd w:val="pct20" w:color="000000" w:fill="FFFFFF"/>
          </w:tcPr>
          <w:p w:rsidR="0078666C" w:rsidRPr="0078666C" w:rsidRDefault="0078666C" w:rsidP="0078666C">
            <w:pPr>
              <w:spacing w:after="120"/>
              <w:jc w:val="center"/>
              <w:rPr>
                <w:b/>
                <w:sz w:val="20"/>
              </w:rPr>
            </w:pPr>
            <w:r w:rsidRPr="0078666C">
              <w:rPr>
                <w:b/>
                <w:sz w:val="20"/>
              </w:rPr>
              <w:t>Fourth Quarter</w:t>
            </w:r>
          </w:p>
        </w:tc>
      </w:tr>
      <w:tr w:rsidR="00EB43B7" w:rsidRPr="0078666C" w:rsidTr="0078666C">
        <w:tc>
          <w:tcPr>
            <w:tcW w:w="6588" w:type="dxa"/>
            <w:shd w:val="pct5" w:color="000000" w:fill="FFFFFF"/>
          </w:tcPr>
          <w:p w:rsidR="00EB43B7" w:rsidRPr="0078666C" w:rsidRDefault="00EB43B7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Follow up on First, Second, Third Quarter Initiatives</w:t>
            </w:r>
          </w:p>
        </w:tc>
        <w:tc>
          <w:tcPr>
            <w:tcW w:w="6588" w:type="dxa"/>
            <w:shd w:val="pct5" w:color="000000" w:fill="FFFFFF"/>
          </w:tcPr>
          <w:p w:rsidR="00EB43B7" w:rsidRPr="0078666C" w:rsidRDefault="00EB43B7" w:rsidP="0022572A">
            <w:pPr>
              <w:spacing w:after="120"/>
              <w:rPr>
                <w:sz w:val="20"/>
              </w:rPr>
            </w:pPr>
          </w:p>
        </w:tc>
      </w:tr>
      <w:tr w:rsidR="00EB43B7" w:rsidRPr="0078666C" w:rsidTr="0078666C">
        <w:tc>
          <w:tcPr>
            <w:tcW w:w="6588" w:type="dxa"/>
            <w:shd w:val="pct20" w:color="000000" w:fill="FFFFFF"/>
          </w:tcPr>
          <w:p w:rsidR="00EB43B7" w:rsidRPr="0078666C" w:rsidRDefault="00EB43B7" w:rsidP="0022572A">
            <w:pPr>
              <w:spacing w:after="120"/>
              <w:rPr>
                <w:sz w:val="20"/>
              </w:rPr>
            </w:pPr>
            <w:r w:rsidRPr="0078666C">
              <w:rPr>
                <w:sz w:val="20"/>
              </w:rPr>
              <w:t>Finalize recommendations for Year 2 report</w:t>
            </w:r>
          </w:p>
        </w:tc>
        <w:tc>
          <w:tcPr>
            <w:tcW w:w="6588" w:type="dxa"/>
            <w:shd w:val="pct20" w:color="000000" w:fill="FFFFFF"/>
          </w:tcPr>
          <w:p w:rsidR="00EB43B7" w:rsidRPr="0078666C" w:rsidRDefault="00EB43B7" w:rsidP="0022572A">
            <w:pPr>
              <w:spacing w:after="120"/>
              <w:rPr>
                <w:sz w:val="20"/>
              </w:rPr>
            </w:pPr>
          </w:p>
        </w:tc>
      </w:tr>
    </w:tbl>
    <w:p w:rsidR="007E5345" w:rsidRDefault="007E5345" w:rsidP="0022572A">
      <w:pPr>
        <w:spacing w:after="120"/>
        <w:rPr>
          <w:sz w:val="20"/>
        </w:rPr>
      </w:pPr>
    </w:p>
    <w:p w:rsidR="00EB43B7" w:rsidRDefault="00EB43B7" w:rsidP="00E8239B">
      <w:pPr>
        <w:spacing w:after="120"/>
        <w:rPr>
          <w:sz w:val="20"/>
        </w:rPr>
        <w:sectPr w:rsidR="00EB43B7">
          <w:pgSz w:w="15840" w:h="12240" w:orient="landscape"/>
          <w:pgMar w:top="1080" w:right="720" w:bottom="1080" w:left="720" w:header="720" w:footer="720" w:gutter="0"/>
          <w:cols w:space="720"/>
          <w:docGrid w:linePitch="360"/>
        </w:sectPr>
      </w:pPr>
    </w:p>
    <w:p w:rsidR="00EB43B7" w:rsidRPr="00070AE5" w:rsidRDefault="00EB43B7" w:rsidP="00EB43B7">
      <w:pPr>
        <w:spacing w:after="120"/>
        <w:jc w:val="center"/>
        <w:rPr>
          <w:b/>
          <w:sz w:val="28"/>
        </w:rPr>
      </w:pPr>
      <w:r w:rsidRPr="00070AE5">
        <w:rPr>
          <w:b/>
          <w:sz w:val="28"/>
        </w:rPr>
        <w:lastRenderedPageBreak/>
        <w:t>Pedestrian Safety Council 2016 - 2019</w:t>
      </w:r>
    </w:p>
    <w:tbl>
      <w:tblPr>
        <w:tblStyle w:val="TableGrid"/>
        <w:tblW w:w="10362" w:type="dxa"/>
        <w:tblInd w:w="-65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BF" w:firstRow="1" w:lastRow="0" w:firstColumn="1" w:lastColumn="0" w:noHBand="0" w:noVBand="0"/>
      </w:tblPr>
      <w:tblGrid>
        <w:gridCol w:w="7038"/>
        <w:gridCol w:w="815"/>
        <w:gridCol w:w="815"/>
        <w:gridCol w:w="815"/>
        <w:gridCol w:w="879"/>
      </w:tblGrid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b/>
                <w:i/>
                <w:color w:val="000090"/>
                <w:sz w:val="28"/>
              </w:rPr>
            </w:pPr>
            <w:r w:rsidRPr="00615AAB">
              <w:rPr>
                <w:b/>
                <w:i/>
                <w:color w:val="000090"/>
                <w:sz w:val="28"/>
              </w:rPr>
              <w:t>Focus Area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b/>
              </w:rPr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b/>
              </w:rPr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b/>
              </w:rPr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b/>
              </w:rPr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numPr>
                <w:ilvl w:val="0"/>
                <w:numId w:val="7"/>
              </w:numPr>
              <w:spacing w:before="120" w:after="120"/>
              <w:ind w:left="0"/>
              <w:rPr>
                <w:i/>
                <w:color w:val="000090"/>
              </w:rPr>
            </w:pPr>
            <w:r w:rsidRPr="00615AAB">
              <w:rPr>
                <w:i/>
                <w:color w:val="000090"/>
              </w:rPr>
              <w:t>1. Explore laws, rules and ordinances that support pedestrian safety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2016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2017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2018</w:t>
            </w: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2019</w:t>
            </w: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1.1. Encourage cities, towns, and tribes to take advantage of existing RCW’s to establish maximum speed limits of 20 mph on non-arterial roads that are within a residential or business district. RCW 46.61.440 applies to cities and towns; RCW 46.62.480 applies to tribes. (2016)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1.2. Expand photo speed/red light enforcement within and beyond school zones; coordinate with 6.1 (2017)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 xml:space="preserve">1.3. Provide legal protection for city and county pedestrian safety plans (2017) 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numPr>
                <w:ilvl w:val="0"/>
                <w:numId w:val="7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>1.4. Establish presumptive driver liability (2018)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numPr>
                <w:ilvl w:val="0"/>
                <w:numId w:val="7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>1.5. Explore alternative modes of transportation (e.g. golf carts) in pedestrian-heavy zones (2018)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numPr>
                <w:ilvl w:val="0"/>
                <w:numId w:val="7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>1.6. (New) Encourage lower design/posted/operating speeds on all roads where pedestrians are likely to be present,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numPr>
                <w:ilvl w:val="0"/>
                <w:numId w:val="7"/>
              </w:numPr>
              <w:spacing w:before="120" w:after="120"/>
              <w:ind w:left="0"/>
              <w:rPr>
                <w:i/>
                <w:color w:val="000090"/>
              </w:rPr>
            </w:pPr>
            <w:r w:rsidRPr="00615AAB">
              <w:rPr>
                <w:i/>
                <w:color w:val="000090"/>
              </w:rPr>
              <w:t>2. Promote positive pedestrian culture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2.1. Establish funding for public education to increase pedestrian and driver awareness of risk and defensive behaviors (2017)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2.2. Add pedestrian safety to Target Zero objectives relating to Impairment, Speeding, and Distraction Involved driving/walking, AND coordinate with Target Zero efforts around New Technology and Traffic Safety to assure that pedestrian safety is included (2018)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numPr>
                <w:ilvl w:val="0"/>
                <w:numId w:val="9"/>
              </w:numPr>
              <w:spacing w:before="120" w:after="120"/>
              <w:ind w:left="0"/>
              <w:rPr>
                <w:i/>
                <w:color w:val="000090"/>
              </w:rPr>
            </w:pPr>
            <w:r w:rsidRPr="00615AAB">
              <w:rPr>
                <w:i/>
                <w:color w:val="000090"/>
              </w:rPr>
              <w:t>3. Prioritize infrastructure investments to ensure pedestrian safety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2016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2017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2018</w:t>
            </w: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2019</w:t>
            </w: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3.1. Assess and improve pedestrian road crossings and link to local safety plans (2016)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3.2. Design roads to reduce operating speed based on context and especially in areas where high levels of pedestrian activity would be expected. (2016)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3.3. Provide incentives for including pedestrian safety improvements in infrastructure funding criteria (2017)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3.4. Provide incentives for including pedestrian safety improvements in infrastructure funding criteria (2017)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3.5. Explore land use policies that support pedestrian safety (2017)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numPr>
                <w:ilvl w:val="0"/>
                <w:numId w:val="10"/>
              </w:numPr>
              <w:spacing w:before="120" w:after="120"/>
              <w:ind w:left="0"/>
              <w:rPr>
                <w:i/>
                <w:color w:val="000090"/>
              </w:rPr>
            </w:pPr>
            <w:r w:rsidRPr="00615AAB">
              <w:rPr>
                <w:i/>
                <w:color w:val="000090"/>
              </w:rPr>
              <w:t>4. Improve pedestrian data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2016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2017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2018</w:t>
            </w: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2019</w:t>
            </w: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numPr>
                <w:ilvl w:val="0"/>
                <w:numId w:val="10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>4.1. Highlight evidence for proven, effective strategies to improve pedestrian data (2016)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numPr>
                <w:ilvl w:val="0"/>
                <w:numId w:val="10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>4.2. Identify over-represented user groups (2016)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</w:tr>
    </w:tbl>
    <w:p w:rsidR="00615AAB" w:rsidRDefault="00615AAB">
      <w:r>
        <w:br w:type="page"/>
      </w:r>
    </w:p>
    <w:tbl>
      <w:tblPr>
        <w:tblStyle w:val="TableGrid"/>
        <w:tblW w:w="10362" w:type="dxa"/>
        <w:tblInd w:w="-65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BF" w:firstRow="1" w:lastRow="0" w:firstColumn="1" w:lastColumn="0" w:noHBand="0" w:noVBand="0"/>
      </w:tblPr>
      <w:tblGrid>
        <w:gridCol w:w="7038"/>
        <w:gridCol w:w="815"/>
        <w:gridCol w:w="815"/>
        <w:gridCol w:w="815"/>
        <w:gridCol w:w="879"/>
      </w:tblGrid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numPr>
                <w:ilvl w:val="0"/>
                <w:numId w:val="10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>4.3. Identify factors that lead to some groups being over-represented in pedestrian/vehicle collisions (2017)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numPr>
                <w:ilvl w:val="0"/>
                <w:numId w:val="10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>4.4. Assess pedestrian data systems (2017)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numPr>
                <w:ilvl w:val="0"/>
                <w:numId w:val="10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>4.5. Explore exposure data  (2017)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numPr>
                <w:ilvl w:val="0"/>
                <w:numId w:val="10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>4.6. Propose strategies to address the factors that lead to some groups being over-represented in pedestrian/vehicle collisions (2017)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numPr>
                <w:ilvl w:val="0"/>
                <w:numId w:val="10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>4.7. Propose changes to assure comprehensive, quality, shared, actionable data (2019)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ind w:hanging="36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spacing w:before="120" w:after="120"/>
              <w:rPr>
                <w:i/>
                <w:color w:val="000090"/>
              </w:rPr>
            </w:pPr>
            <w:r w:rsidRPr="00615AAB">
              <w:rPr>
                <w:i/>
                <w:color w:val="000090"/>
              </w:rPr>
              <w:t>5. Invest in the development &amp; implementation of pedestrian safety plans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2016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2017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2018</w:t>
            </w: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2019</w:t>
            </w: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5.1. Identify actionable design applications (2016)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 xml:space="preserve">5.2. Explore pedestrian safety assessments (TBD) 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numPr>
                <w:ilvl w:val="1"/>
                <w:numId w:val="13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 xml:space="preserve">5.3. Crosswalk evaluation statewide (TBD) 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numPr>
                <w:ilvl w:val="1"/>
                <w:numId w:val="12"/>
              </w:numPr>
              <w:spacing w:after="120"/>
              <w:ind w:left="0"/>
              <w:rPr>
                <w:sz w:val="20"/>
              </w:rPr>
            </w:pPr>
            <w:r w:rsidRPr="00615AAB">
              <w:rPr>
                <w:sz w:val="20"/>
              </w:rPr>
              <w:t xml:space="preserve">5.4. Invest in local pedestrian safety plans (TBD) 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numPr>
                <w:ilvl w:val="0"/>
                <w:numId w:val="12"/>
              </w:numPr>
              <w:spacing w:before="120" w:after="120"/>
              <w:ind w:left="0"/>
              <w:rPr>
                <w:i/>
                <w:color w:val="000090"/>
              </w:rPr>
            </w:pPr>
            <w:r w:rsidRPr="00615AAB">
              <w:rPr>
                <w:i/>
                <w:color w:val="000090"/>
              </w:rPr>
              <w:t>6. Implement proven enforcement strategies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2016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2017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2018</w:t>
            </w: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2019</w:t>
            </w: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6.1. Promote use of photo red/school zone speed enforcement and dedicate fees to pedestrian safety measures (2017)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6.2. Pedestrian enforcement (2018)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numPr>
                <w:ilvl w:val="0"/>
                <w:numId w:val="15"/>
              </w:numPr>
              <w:spacing w:before="120" w:after="120"/>
              <w:ind w:left="0"/>
              <w:rPr>
                <w:i/>
                <w:color w:val="000090"/>
              </w:rPr>
            </w:pPr>
            <w:r w:rsidRPr="00615AAB">
              <w:rPr>
                <w:i/>
                <w:color w:val="000090"/>
              </w:rPr>
              <w:t>7. Include diverse stakeholders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2016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2017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2018</w:t>
            </w: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2019</w:t>
            </w: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7.1. Develop an inclusion strategy so that we are hearing from groups about issues unique to tribes, people of color, non-English speaking people, children, elders, people with disabilities (2016)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7.2. Explore strategies around pedestrian impairment and supporting services (housing, drug and alcohol services)  (2019)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rPr>
                <w:rFonts w:ascii="Zapf Dingbats" w:hAnsi="Zapf Dingbats"/>
              </w:rPr>
              <w:t>✔</w:t>
            </w: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before="120" w:after="120"/>
              <w:rPr>
                <w:i/>
                <w:color w:val="000090"/>
              </w:rPr>
            </w:pPr>
            <w:r w:rsidRPr="00615AAB">
              <w:rPr>
                <w:i/>
                <w:color w:val="000090"/>
              </w:rPr>
              <w:t>8. Encourage emerging technology that supports pedestrian safety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2016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2017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2018</w:t>
            </w: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jc w:val="center"/>
            </w:pPr>
            <w:r w:rsidRPr="00615AAB">
              <w:t>2019</w:t>
            </w:r>
          </w:p>
        </w:tc>
      </w:tr>
      <w:tr w:rsidR="00EB43B7" w:rsidRPr="00615AAB">
        <w:tc>
          <w:tcPr>
            <w:tcW w:w="7038" w:type="dxa"/>
            <w:shd w:val="pct5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8.1. Identify technology that supports pedestrian safety (2018)</w:t>
            </w: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79" w:type="dxa"/>
            <w:shd w:val="pct5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  <w:tr w:rsidR="00EB43B7" w:rsidRPr="00615AAB">
        <w:tc>
          <w:tcPr>
            <w:tcW w:w="7038" w:type="dxa"/>
            <w:shd w:val="pct20" w:color="000000" w:fill="FFFFFF"/>
          </w:tcPr>
          <w:p w:rsidR="00EB43B7" w:rsidRPr="00615AAB" w:rsidRDefault="00EB43B7" w:rsidP="00EB43B7">
            <w:pPr>
              <w:spacing w:after="120"/>
              <w:rPr>
                <w:sz w:val="20"/>
              </w:rPr>
            </w:pPr>
            <w:r w:rsidRPr="00615AAB">
              <w:rPr>
                <w:sz w:val="20"/>
              </w:rPr>
              <w:t>8.2. Facilitate emerging vehicle technology (2018)</w:t>
            </w: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  <w:tc>
          <w:tcPr>
            <w:tcW w:w="815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  <w:r w:rsidRPr="00615AAB">
              <w:rPr>
                <w:rFonts w:ascii="Zapf Dingbats" w:hAnsi="Zapf Dingbats"/>
              </w:rPr>
              <w:t>✔</w:t>
            </w:r>
          </w:p>
        </w:tc>
        <w:tc>
          <w:tcPr>
            <w:tcW w:w="879" w:type="dxa"/>
            <w:shd w:val="pct20" w:color="000000" w:fill="FFFFFF"/>
          </w:tcPr>
          <w:p w:rsidR="00EB43B7" w:rsidRPr="00615AAB" w:rsidRDefault="00EB43B7" w:rsidP="00EB43B7">
            <w:pPr>
              <w:spacing w:after="120"/>
            </w:pPr>
          </w:p>
        </w:tc>
      </w:tr>
    </w:tbl>
    <w:p w:rsidR="004C0ACB" w:rsidRPr="00CD7B86" w:rsidRDefault="004C0ACB" w:rsidP="00EB43B7">
      <w:pPr>
        <w:spacing w:after="120"/>
        <w:rPr>
          <w:sz w:val="20"/>
        </w:rPr>
      </w:pPr>
    </w:p>
    <w:sectPr w:rsidR="004C0ACB" w:rsidRPr="00CD7B86" w:rsidSect="00EB43B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5830">
      <w:r>
        <w:separator/>
      </w:r>
    </w:p>
  </w:endnote>
  <w:endnote w:type="continuationSeparator" w:id="0">
    <w:p w:rsidR="00000000" w:rsidRDefault="00E5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Zapf Dingbats">
    <w:altName w:val="Wingdings 2"/>
    <w:charset w:val="02"/>
    <w:family w:val="auto"/>
    <w:pitch w:val="variable"/>
    <w:sig w:usb0="00000000" w:usb1="00000000" w:usb2="0001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3B7" w:rsidRDefault="003462CA" w:rsidP="002257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43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3B7">
      <w:rPr>
        <w:rStyle w:val="PageNumber"/>
        <w:noProof/>
      </w:rPr>
      <w:t>1</w:t>
    </w:r>
    <w:r>
      <w:rPr>
        <w:rStyle w:val="PageNumber"/>
      </w:rPr>
      <w:fldChar w:fldCharType="end"/>
    </w:r>
  </w:p>
  <w:p w:rsidR="00EB43B7" w:rsidRDefault="00EB43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3B7" w:rsidRDefault="003462CA" w:rsidP="002257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43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5830">
      <w:rPr>
        <w:rStyle w:val="PageNumber"/>
        <w:noProof/>
      </w:rPr>
      <w:t>1</w:t>
    </w:r>
    <w:r>
      <w:rPr>
        <w:rStyle w:val="PageNumber"/>
      </w:rPr>
      <w:fldChar w:fldCharType="end"/>
    </w:r>
  </w:p>
  <w:p w:rsidR="00EB43B7" w:rsidRDefault="00EB43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5830">
      <w:r>
        <w:separator/>
      </w:r>
    </w:p>
  </w:footnote>
  <w:footnote w:type="continuationSeparator" w:id="0">
    <w:p w:rsidR="00000000" w:rsidRDefault="00E5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7EC"/>
    <w:multiLevelType w:val="multilevel"/>
    <w:tmpl w:val="4E14DCDE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4751D4"/>
    <w:multiLevelType w:val="multilevel"/>
    <w:tmpl w:val="8048C7C8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1D30FCF"/>
    <w:multiLevelType w:val="multilevel"/>
    <w:tmpl w:val="005E66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5D2F0F"/>
    <w:multiLevelType w:val="hybridMultilevel"/>
    <w:tmpl w:val="2AF43F08"/>
    <w:lvl w:ilvl="0" w:tplc="D9DEA8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DE656E"/>
    <w:multiLevelType w:val="hybridMultilevel"/>
    <w:tmpl w:val="CFB2779A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4509E"/>
    <w:multiLevelType w:val="hybridMultilevel"/>
    <w:tmpl w:val="44F0263A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25A00"/>
    <w:multiLevelType w:val="hybridMultilevel"/>
    <w:tmpl w:val="8E6A1BF8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C7575"/>
    <w:multiLevelType w:val="multilevel"/>
    <w:tmpl w:val="B4361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D1C0476"/>
    <w:multiLevelType w:val="hybridMultilevel"/>
    <w:tmpl w:val="AE80D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14D83"/>
    <w:multiLevelType w:val="hybridMultilevel"/>
    <w:tmpl w:val="9F180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D5441"/>
    <w:multiLevelType w:val="hybridMultilevel"/>
    <w:tmpl w:val="304C1DA4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84650"/>
    <w:multiLevelType w:val="multilevel"/>
    <w:tmpl w:val="DB481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883B7C"/>
    <w:multiLevelType w:val="hybridMultilevel"/>
    <w:tmpl w:val="9B548BFC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331D4"/>
    <w:multiLevelType w:val="hybridMultilevel"/>
    <w:tmpl w:val="BE52FE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94DC2"/>
    <w:multiLevelType w:val="hybridMultilevel"/>
    <w:tmpl w:val="7DC22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E5277"/>
    <w:multiLevelType w:val="multilevel"/>
    <w:tmpl w:val="D878EEFA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BB217EF"/>
    <w:multiLevelType w:val="hybridMultilevel"/>
    <w:tmpl w:val="005E6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E672A9"/>
    <w:multiLevelType w:val="hybridMultilevel"/>
    <w:tmpl w:val="35D0D01E"/>
    <w:lvl w:ilvl="0" w:tplc="D9DEA8EC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>
    <w:nsid w:val="32F06D0B"/>
    <w:multiLevelType w:val="hybridMultilevel"/>
    <w:tmpl w:val="1326F656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9F3D6B"/>
    <w:multiLevelType w:val="hybridMultilevel"/>
    <w:tmpl w:val="F6C0C080"/>
    <w:lvl w:ilvl="0" w:tplc="D9DEA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6CD2731"/>
    <w:multiLevelType w:val="multilevel"/>
    <w:tmpl w:val="BC00C6FE"/>
    <w:lvl w:ilvl="0">
      <w:start w:val="1"/>
      <w:numFmt w:val="none"/>
      <w:lvlText w:val="8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7B31E0E"/>
    <w:multiLevelType w:val="hybridMultilevel"/>
    <w:tmpl w:val="4E5C7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FA501D"/>
    <w:multiLevelType w:val="hybridMultilevel"/>
    <w:tmpl w:val="38E897EC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30E6E"/>
    <w:multiLevelType w:val="hybridMultilevel"/>
    <w:tmpl w:val="ABF8E54A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372D40"/>
    <w:multiLevelType w:val="multilevel"/>
    <w:tmpl w:val="468CF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1EB0CC2"/>
    <w:multiLevelType w:val="hybridMultilevel"/>
    <w:tmpl w:val="3536A17C"/>
    <w:lvl w:ilvl="0" w:tplc="D9DEA8EC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1268FF"/>
    <w:multiLevelType w:val="multilevel"/>
    <w:tmpl w:val="4E14DCDE"/>
    <w:lvl w:ilvl="0">
      <w:start w:val="1"/>
      <w:numFmt w:val="none"/>
      <w:lvlText w:val="7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26C6D9D"/>
    <w:multiLevelType w:val="hybridMultilevel"/>
    <w:tmpl w:val="F94A18E4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2EA40DC"/>
    <w:multiLevelType w:val="hybridMultilevel"/>
    <w:tmpl w:val="10FC0530"/>
    <w:lvl w:ilvl="0" w:tplc="D9DEA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6945F7F"/>
    <w:multiLevelType w:val="hybridMultilevel"/>
    <w:tmpl w:val="86026E48"/>
    <w:lvl w:ilvl="0" w:tplc="D9DEA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7846074"/>
    <w:multiLevelType w:val="multilevel"/>
    <w:tmpl w:val="B57855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7E0271A"/>
    <w:multiLevelType w:val="multilevel"/>
    <w:tmpl w:val="468CF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7FB3ADA"/>
    <w:multiLevelType w:val="hybridMultilevel"/>
    <w:tmpl w:val="13A296AE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AB7051"/>
    <w:multiLevelType w:val="multilevel"/>
    <w:tmpl w:val="9C40C00C"/>
    <w:lvl w:ilvl="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0C60FBE"/>
    <w:multiLevelType w:val="multilevel"/>
    <w:tmpl w:val="16121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21C5311"/>
    <w:multiLevelType w:val="hybridMultilevel"/>
    <w:tmpl w:val="F7BCA856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DB0A6A"/>
    <w:multiLevelType w:val="hybridMultilevel"/>
    <w:tmpl w:val="982C6A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97D5533"/>
    <w:multiLevelType w:val="hybridMultilevel"/>
    <w:tmpl w:val="8AC8B624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D43CA2"/>
    <w:multiLevelType w:val="multilevel"/>
    <w:tmpl w:val="AD4EF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62A2E84"/>
    <w:multiLevelType w:val="hybridMultilevel"/>
    <w:tmpl w:val="B7CCA2A0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090D2C"/>
    <w:multiLevelType w:val="hybridMultilevel"/>
    <w:tmpl w:val="005E66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BD05016"/>
    <w:multiLevelType w:val="multilevel"/>
    <w:tmpl w:val="2E840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E074B3B"/>
    <w:multiLevelType w:val="hybridMultilevel"/>
    <w:tmpl w:val="D428BFEC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FE6F37"/>
    <w:multiLevelType w:val="hybridMultilevel"/>
    <w:tmpl w:val="D7CC6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8290C"/>
    <w:multiLevelType w:val="multilevel"/>
    <w:tmpl w:val="2E840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C7A171B"/>
    <w:multiLevelType w:val="hybridMultilevel"/>
    <w:tmpl w:val="30F6C83A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E64B69"/>
    <w:multiLevelType w:val="hybridMultilevel"/>
    <w:tmpl w:val="8B76985A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7E005D"/>
    <w:multiLevelType w:val="hybridMultilevel"/>
    <w:tmpl w:val="2814E344"/>
    <w:lvl w:ilvl="0" w:tplc="D9DEA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21"/>
  </w:num>
  <w:num w:numId="4">
    <w:abstractNumId w:val="10"/>
  </w:num>
  <w:num w:numId="5">
    <w:abstractNumId w:val="24"/>
  </w:num>
  <w:num w:numId="6">
    <w:abstractNumId w:val="31"/>
  </w:num>
  <w:num w:numId="7">
    <w:abstractNumId w:val="36"/>
  </w:num>
  <w:num w:numId="8">
    <w:abstractNumId w:val="15"/>
  </w:num>
  <w:num w:numId="9">
    <w:abstractNumId w:val="44"/>
  </w:num>
  <w:num w:numId="10">
    <w:abstractNumId w:val="41"/>
  </w:num>
  <w:num w:numId="11">
    <w:abstractNumId w:val="30"/>
  </w:num>
  <w:num w:numId="12">
    <w:abstractNumId w:val="33"/>
  </w:num>
  <w:num w:numId="13">
    <w:abstractNumId w:val="11"/>
  </w:num>
  <w:num w:numId="14">
    <w:abstractNumId w:val="38"/>
  </w:num>
  <w:num w:numId="15">
    <w:abstractNumId w:val="0"/>
  </w:num>
  <w:num w:numId="16">
    <w:abstractNumId w:val="34"/>
  </w:num>
  <w:num w:numId="17">
    <w:abstractNumId w:val="20"/>
  </w:num>
  <w:num w:numId="18">
    <w:abstractNumId w:val="1"/>
  </w:num>
  <w:num w:numId="19">
    <w:abstractNumId w:val="40"/>
  </w:num>
  <w:num w:numId="20">
    <w:abstractNumId w:val="47"/>
  </w:num>
  <w:num w:numId="21">
    <w:abstractNumId w:val="35"/>
  </w:num>
  <w:num w:numId="22">
    <w:abstractNumId w:val="37"/>
  </w:num>
  <w:num w:numId="23">
    <w:abstractNumId w:val="43"/>
  </w:num>
  <w:num w:numId="24">
    <w:abstractNumId w:val="8"/>
  </w:num>
  <w:num w:numId="25">
    <w:abstractNumId w:val="9"/>
  </w:num>
  <w:num w:numId="26">
    <w:abstractNumId w:val="32"/>
  </w:num>
  <w:num w:numId="27">
    <w:abstractNumId w:val="22"/>
  </w:num>
  <w:num w:numId="28">
    <w:abstractNumId w:val="45"/>
  </w:num>
  <w:num w:numId="29">
    <w:abstractNumId w:val="46"/>
  </w:num>
  <w:num w:numId="30">
    <w:abstractNumId w:val="6"/>
  </w:num>
  <w:num w:numId="31">
    <w:abstractNumId w:val="17"/>
  </w:num>
  <w:num w:numId="32">
    <w:abstractNumId w:val="13"/>
  </w:num>
  <w:num w:numId="33">
    <w:abstractNumId w:val="3"/>
  </w:num>
  <w:num w:numId="34">
    <w:abstractNumId w:val="18"/>
  </w:num>
  <w:num w:numId="35">
    <w:abstractNumId w:val="25"/>
  </w:num>
  <w:num w:numId="36">
    <w:abstractNumId w:val="29"/>
  </w:num>
  <w:num w:numId="37">
    <w:abstractNumId w:val="16"/>
  </w:num>
  <w:num w:numId="38">
    <w:abstractNumId w:val="2"/>
  </w:num>
  <w:num w:numId="39">
    <w:abstractNumId w:val="7"/>
  </w:num>
  <w:num w:numId="40">
    <w:abstractNumId w:val="12"/>
  </w:num>
  <w:num w:numId="41">
    <w:abstractNumId w:val="4"/>
  </w:num>
  <w:num w:numId="42">
    <w:abstractNumId w:val="14"/>
  </w:num>
  <w:num w:numId="43">
    <w:abstractNumId w:val="5"/>
  </w:num>
  <w:num w:numId="44">
    <w:abstractNumId w:val="19"/>
  </w:num>
  <w:num w:numId="45">
    <w:abstractNumId w:val="28"/>
  </w:num>
  <w:num w:numId="46">
    <w:abstractNumId w:val="23"/>
  </w:num>
  <w:num w:numId="47">
    <w:abstractNumId w:val="42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C0ACB"/>
    <w:rsid w:val="00070AE5"/>
    <w:rsid w:val="0009113C"/>
    <w:rsid w:val="00146FAC"/>
    <w:rsid w:val="0022572A"/>
    <w:rsid w:val="002A4B7E"/>
    <w:rsid w:val="002C518E"/>
    <w:rsid w:val="00300F8E"/>
    <w:rsid w:val="003462CA"/>
    <w:rsid w:val="003838BA"/>
    <w:rsid w:val="00441390"/>
    <w:rsid w:val="00487E91"/>
    <w:rsid w:val="004C0ACB"/>
    <w:rsid w:val="00547167"/>
    <w:rsid w:val="005E19DF"/>
    <w:rsid w:val="00615AAB"/>
    <w:rsid w:val="006668F2"/>
    <w:rsid w:val="0078666C"/>
    <w:rsid w:val="00787633"/>
    <w:rsid w:val="00793B26"/>
    <w:rsid w:val="007E5345"/>
    <w:rsid w:val="00865B24"/>
    <w:rsid w:val="008E73D2"/>
    <w:rsid w:val="00B42723"/>
    <w:rsid w:val="00C251FF"/>
    <w:rsid w:val="00CD7B86"/>
    <w:rsid w:val="00D51704"/>
    <w:rsid w:val="00DD482A"/>
    <w:rsid w:val="00E15E69"/>
    <w:rsid w:val="00E55830"/>
    <w:rsid w:val="00E8239B"/>
    <w:rsid w:val="00EB43B7"/>
    <w:rsid w:val="00EE1A12"/>
    <w:rsid w:val="00F4166A"/>
    <w:rsid w:val="00FB2770"/>
    <w:rsid w:val="00FB37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4C0AC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EB43B7"/>
    <w:pPr>
      <w:keepNext/>
      <w:spacing w:before="240" w:after="60" w:line="276" w:lineRule="auto"/>
      <w:outlineLvl w:val="0"/>
    </w:pPr>
    <w:rPr>
      <w:rFonts w:asciiTheme="majorHAnsi" w:eastAsia="Times New Roman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B43B7"/>
    <w:pPr>
      <w:spacing w:before="60" w:after="200" w:line="276" w:lineRule="auto"/>
      <w:contextualSpacing/>
      <w:outlineLvl w:val="1"/>
    </w:pPr>
    <w:rPr>
      <w:rFonts w:asciiTheme="minorHAnsi" w:eastAsia="Times New Roman" w:hAnsiTheme="minorHAnsi" w:cs="Times New Roman"/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EB43B7"/>
    <w:pPr>
      <w:spacing w:before="60" w:after="60" w:line="276" w:lineRule="auto"/>
      <w:outlineLvl w:val="2"/>
    </w:pPr>
    <w:rPr>
      <w:rFonts w:asciiTheme="minorHAnsi" w:eastAsia="Times New Roman" w:hAnsiTheme="minorHAnsi" w:cs="Times New Roman"/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EB43B7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17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257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72A"/>
    <w:rPr>
      <w:rFonts w:ascii="Arial" w:hAnsi="Arial"/>
    </w:rPr>
  </w:style>
  <w:style w:type="character" w:styleId="PageNumber">
    <w:name w:val="page number"/>
    <w:basedOn w:val="DefaultParagraphFont"/>
    <w:uiPriority w:val="99"/>
    <w:rsid w:val="0022572A"/>
  </w:style>
  <w:style w:type="paragraph" w:styleId="ListParagraph">
    <w:name w:val="List Paragraph"/>
    <w:basedOn w:val="Normal"/>
    <w:uiPriority w:val="34"/>
    <w:unhideWhenUsed/>
    <w:qFormat/>
    <w:rsid w:val="0022572A"/>
    <w:pPr>
      <w:spacing w:before="60" w:after="60" w:line="276" w:lineRule="auto"/>
      <w:ind w:left="720"/>
      <w:contextualSpacing/>
    </w:pPr>
    <w:rPr>
      <w:rFonts w:asciiTheme="minorHAnsi" w:eastAsia="Times New Roman" w:hAnsiTheme="minorHAnsi" w:cs="Times New Roman"/>
    </w:rPr>
  </w:style>
  <w:style w:type="character" w:customStyle="1" w:styleId="Heading1Char">
    <w:name w:val="Heading 1 Char"/>
    <w:basedOn w:val="DefaultParagraphFont"/>
    <w:link w:val="Heading1"/>
    <w:rsid w:val="00EB43B7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B43B7"/>
    <w:rPr>
      <w:rFonts w:eastAsia="Times New Roman" w:cs="Times New Roman"/>
      <w:b/>
      <w:sz w:val="22"/>
    </w:rPr>
  </w:style>
  <w:style w:type="character" w:customStyle="1" w:styleId="Heading3Char">
    <w:name w:val="Heading 3 Char"/>
    <w:basedOn w:val="DefaultParagraphFont"/>
    <w:link w:val="Heading3"/>
    <w:rsid w:val="00EB43B7"/>
    <w:rPr>
      <w:rFonts w:eastAsia="Times New Roman" w:cs="Times New Roman"/>
      <w:b/>
    </w:rPr>
  </w:style>
  <w:style w:type="character" w:customStyle="1" w:styleId="Heading4Char">
    <w:name w:val="Heading 4 Char"/>
    <w:basedOn w:val="DefaultParagraphFont"/>
    <w:link w:val="Heading4"/>
    <w:rsid w:val="00EB43B7"/>
    <w:rPr>
      <w:rFonts w:eastAsia="Times New Roman" w:cs="Times New Roman"/>
      <w:b/>
      <w:sz w:val="22"/>
    </w:rPr>
  </w:style>
  <w:style w:type="paragraph" w:customStyle="1" w:styleId="Location">
    <w:name w:val="Location"/>
    <w:basedOn w:val="Normal"/>
    <w:qFormat/>
    <w:rsid w:val="00EB43B7"/>
    <w:pPr>
      <w:spacing w:before="60" w:after="60" w:line="276" w:lineRule="auto"/>
      <w:jc w:val="right"/>
    </w:pPr>
    <w:rPr>
      <w:rFonts w:asciiTheme="minorHAnsi" w:eastAsia="Times New Roman" w:hAnsiTheme="minorHAnsi" w:cs="Times New Roman"/>
    </w:rPr>
  </w:style>
  <w:style w:type="paragraph" w:styleId="BalloonText">
    <w:name w:val="Balloon Text"/>
    <w:basedOn w:val="Normal"/>
    <w:link w:val="BalloonTextChar"/>
    <w:unhideWhenUsed/>
    <w:rsid w:val="00EB43B7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43B7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Heading1"/>
    <w:link w:val="TitleChar"/>
    <w:qFormat/>
    <w:rsid w:val="00EB43B7"/>
    <w:pPr>
      <w:spacing w:before="240" w:after="80" w:line="276" w:lineRule="auto"/>
      <w:jc w:val="right"/>
    </w:pPr>
    <w:rPr>
      <w:rFonts w:asciiTheme="majorHAnsi" w:eastAsia="Times New Roman" w:hAnsiTheme="majorHAnsi" w:cs="Arial"/>
      <w:b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rsid w:val="00EB43B7"/>
    <w:rPr>
      <w:rFonts w:asciiTheme="majorHAnsi" w:eastAsia="Times New Roman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rsid w:val="00EB43B7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EB43B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3B7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EB43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EB43B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B43B7"/>
    <w:rPr>
      <w:rFonts w:ascii="Times New Roman" w:eastAsia="Times New Roman" w:hAnsi="Times New Roman" w:cs="Times New Roman"/>
    </w:rPr>
  </w:style>
  <w:style w:type="paragraph" w:customStyle="1" w:styleId="PMOBody">
    <w:name w:val="PMO Body"/>
    <w:basedOn w:val="Normal"/>
    <w:rsid w:val="00EB43B7"/>
    <w:pPr>
      <w:ind w:left="720"/>
    </w:pPr>
    <w:rPr>
      <w:rFonts w:ascii="Times New Roman" w:eastAsia="Times New Roman" w:hAnsi="Times New Roman" w:cs="Times New Roman"/>
    </w:rPr>
  </w:style>
  <w:style w:type="paragraph" w:customStyle="1" w:styleId="PMOPageTitle">
    <w:name w:val="PMO Page Title"/>
    <w:basedOn w:val="PMOBody"/>
    <w:rsid w:val="00EB43B7"/>
    <w:rPr>
      <w:b/>
      <w:i/>
      <w:sz w:val="36"/>
    </w:rPr>
  </w:style>
  <w:style w:type="paragraph" w:customStyle="1" w:styleId="PMOHeading2">
    <w:name w:val="PMO Heading 2"/>
    <w:basedOn w:val="Heading2"/>
    <w:rsid w:val="00EB43B7"/>
    <w:pPr>
      <w:keepNext/>
      <w:spacing w:before="0" w:after="0" w:line="240" w:lineRule="auto"/>
      <w:ind w:left="720"/>
      <w:contextualSpacing w:val="0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1370</Words>
  <Characters>7814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Heidi Keller Consulting/Gonzaga University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Keller</dc:creator>
  <cp:lastModifiedBy>Baldwin, Shelly (WTSC)</cp:lastModifiedBy>
  <cp:revision>2</cp:revision>
  <dcterms:created xsi:type="dcterms:W3CDTF">2016-11-29T00:19:00Z</dcterms:created>
  <dcterms:modified xsi:type="dcterms:W3CDTF">2016-11-29T00:19:00Z</dcterms:modified>
</cp:coreProperties>
</file>